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Default="006335BE" w:rsidP="006335BE">
      <w:p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A LOS ESTADOS FINANCIEROS DE</w:t>
      </w:r>
      <w:r w:rsidR="0062320E">
        <w:rPr>
          <w:rFonts w:ascii="Arial" w:hAnsi="Arial" w:cs="Arial"/>
          <w:b/>
          <w:sz w:val="17"/>
          <w:szCs w:val="17"/>
        </w:rPr>
        <w:t xml:space="preserve"> </w:t>
      </w:r>
      <w:r w:rsidRPr="002D70DA">
        <w:rPr>
          <w:rFonts w:ascii="Arial" w:hAnsi="Arial" w:cs="Arial"/>
          <w:b/>
          <w:sz w:val="17"/>
          <w:szCs w:val="17"/>
        </w:rPr>
        <w:t>L</w:t>
      </w:r>
      <w:r w:rsidR="0062320E">
        <w:rPr>
          <w:rFonts w:ascii="Arial" w:hAnsi="Arial" w:cs="Arial"/>
          <w:b/>
          <w:sz w:val="17"/>
          <w:szCs w:val="17"/>
        </w:rPr>
        <w:t>O</w:t>
      </w:r>
      <w:r w:rsidR="00850AEE" w:rsidRPr="002D70DA">
        <w:rPr>
          <w:rFonts w:ascii="Arial" w:hAnsi="Arial" w:cs="Arial"/>
          <w:b/>
          <w:sz w:val="17"/>
          <w:szCs w:val="17"/>
        </w:rPr>
        <w:t xml:space="preserve"> </w:t>
      </w:r>
      <w:r w:rsidR="0062320E">
        <w:rPr>
          <w:rFonts w:ascii="Arial" w:hAnsi="Arial" w:cs="Arial"/>
          <w:b/>
          <w:sz w:val="17"/>
          <w:szCs w:val="17"/>
        </w:rPr>
        <w:t>ÓRGANOS AUTÓNOMOS DEL ESTADO DE QUERÉTARO</w:t>
      </w:r>
    </w:p>
    <w:p w:rsidR="00776AEC" w:rsidRPr="002D70DA" w:rsidRDefault="00776AEC" w:rsidP="006335BE">
      <w:pPr>
        <w:autoSpaceDE w:val="0"/>
        <w:autoSpaceDN w:val="0"/>
        <w:adjustRightInd w:val="0"/>
        <w:spacing w:before="240" w:after="120"/>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w:t>
      </w:r>
      <w:r w:rsidR="005D109B">
        <w:rPr>
          <w:rFonts w:ascii="Arial" w:eastAsia="Calibri" w:hAnsi="Arial" w:cs="Arial"/>
          <w:spacing w:val="-1"/>
          <w:sz w:val="17"/>
          <w:szCs w:val="17"/>
        </w:rPr>
        <w:t xml:space="preserve"> 3</w:t>
      </w:r>
      <w:r w:rsidR="00316A2A">
        <w:rPr>
          <w:rFonts w:ascii="Arial" w:eastAsia="Calibri" w:hAnsi="Arial" w:cs="Arial"/>
          <w:spacing w:val="-1"/>
          <w:sz w:val="17"/>
          <w:szCs w:val="17"/>
        </w:rPr>
        <w:t>1</w:t>
      </w:r>
      <w:r w:rsidR="005D109B">
        <w:rPr>
          <w:rFonts w:ascii="Arial" w:eastAsia="Calibri" w:hAnsi="Arial" w:cs="Arial"/>
          <w:spacing w:val="-1"/>
          <w:sz w:val="17"/>
          <w:szCs w:val="17"/>
        </w:rPr>
        <w:t xml:space="preserve"> de </w:t>
      </w:r>
      <w:r w:rsidR="00316A2A">
        <w:rPr>
          <w:rFonts w:ascii="Arial" w:eastAsia="Calibri" w:hAnsi="Arial" w:cs="Arial"/>
          <w:spacing w:val="-1"/>
          <w:sz w:val="17"/>
          <w:szCs w:val="17"/>
        </w:rPr>
        <w:t>diciembre</w:t>
      </w:r>
      <w:r w:rsidR="005D109B">
        <w:rPr>
          <w:rFonts w:ascii="Arial" w:eastAsia="Calibri" w:hAnsi="Arial" w:cs="Arial"/>
          <w:spacing w:val="-1"/>
          <w:sz w:val="17"/>
          <w:szCs w:val="17"/>
        </w:rPr>
        <w:t xml:space="preserve"> del </w:t>
      </w:r>
      <w:r w:rsidR="009831D5">
        <w:rPr>
          <w:rFonts w:ascii="Arial" w:eastAsia="Calibri" w:hAnsi="Arial" w:cs="Arial"/>
          <w:spacing w:val="-1"/>
          <w:sz w:val="17"/>
          <w:szCs w:val="17"/>
        </w:rPr>
        <w:t>2019</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795E45">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9D4479" w:rsidRDefault="001B59FD"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En este apartado se informa </w:t>
      </w:r>
      <w:r w:rsidR="009D4479">
        <w:rPr>
          <w:rFonts w:ascii="Arial" w:eastAsia="Calibri" w:hAnsi="Arial" w:cs="Arial"/>
          <w:spacing w:val="-1"/>
          <w:sz w:val="17"/>
          <w:szCs w:val="17"/>
        </w:rPr>
        <w:t>la integración del rubro efectivo y equivalentes en posición de</w:t>
      </w:r>
      <w:r w:rsidR="0062320E">
        <w:rPr>
          <w:rFonts w:ascii="Arial" w:eastAsia="Calibri" w:hAnsi="Arial" w:cs="Arial"/>
          <w:spacing w:val="-1"/>
          <w:sz w:val="17"/>
          <w:szCs w:val="17"/>
        </w:rPr>
        <w:t xml:space="preserve"> </w:t>
      </w:r>
      <w:r w:rsidR="009D4479">
        <w:rPr>
          <w:rFonts w:ascii="Arial" w:eastAsia="Calibri" w:hAnsi="Arial" w:cs="Arial"/>
          <w:spacing w:val="-1"/>
          <w:sz w:val="17"/>
          <w:szCs w:val="17"/>
        </w:rPr>
        <w:t>l</w:t>
      </w:r>
      <w:r w:rsidR="0062320E">
        <w:rPr>
          <w:rFonts w:ascii="Arial" w:eastAsia="Calibri" w:hAnsi="Arial" w:cs="Arial"/>
          <w:spacing w:val="-1"/>
          <w:sz w:val="17"/>
          <w:szCs w:val="17"/>
        </w:rPr>
        <w:t>os</w:t>
      </w:r>
      <w:r w:rsidR="004A4F89">
        <w:rPr>
          <w:rFonts w:ascii="Arial" w:eastAsia="Calibri" w:hAnsi="Arial" w:cs="Arial"/>
          <w:spacing w:val="-1"/>
          <w:sz w:val="17"/>
          <w:szCs w:val="17"/>
        </w:rPr>
        <w:t xml:space="preserve"> </w:t>
      </w:r>
      <w:r w:rsidR="0062320E">
        <w:rPr>
          <w:rFonts w:ascii="Arial" w:eastAsia="Calibri" w:hAnsi="Arial" w:cs="Arial"/>
          <w:spacing w:val="-1"/>
          <w:sz w:val="17"/>
          <w:szCs w:val="17"/>
        </w:rPr>
        <w:t>Órganos Autónomos del Estado de Querétaro</w:t>
      </w:r>
      <w:r w:rsidR="009D4479">
        <w:rPr>
          <w:rFonts w:ascii="Arial" w:eastAsia="Calibri" w:hAnsi="Arial" w:cs="Arial"/>
          <w:spacing w:val="-1"/>
          <w:sz w:val="17"/>
          <w:szCs w:val="17"/>
        </w:rPr>
        <w:t>:</w:t>
      </w:r>
    </w:p>
    <w:p w:rsidR="009D4479" w:rsidRPr="002D70DA" w:rsidRDefault="009D4479" w:rsidP="009D4479">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9D4479" w:rsidRPr="002D70DA" w:rsidTr="006232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D4479" w:rsidRPr="002D70DA" w:rsidRDefault="009D4479"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D4479"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62320E" w:rsidRPr="002D70DA" w:rsidTr="006232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2320E" w:rsidRPr="009831D5" w:rsidRDefault="0062320E" w:rsidP="0062320E">
            <w:pPr>
              <w:rPr>
                <w:rFonts w:ascii="Arial" w:hAnsi="Arial" w:cs="Arial"/>
                <w:sz w:val="17"/>
                <w:szCs w:val="17"/>
              </w:rPr>
            </w:pPr>
            <w:r w:rsidRPr="009831D5">
              <w:rPr>
                <w:rFonts w:ascii="Arial" w:hAnsi="Arial" w:cs="Arial"/>
                <w:sz w:val="17"/>
                <w:szCs w:val="17"/>
              </w:rPr>
              <w:t>Efectivo</w:t>
            </w:r>
          </w:p>
        </w:tc>
        <w:tc>
          <w:tcPr>
            <w:tcW w:w="2180" w:type="dxa"/>
            <w:tcBorders>
              <w:top w:val="single" w:sz="4" w:space="0" w:color="auto"/>
              <w:left w:val="nil"/>
              <w:bottom w:val="single" w:sz="4" w:space="0" w:color="auto"/>
              <w:right w:val="single" w:sz="4" w:space="0" w:color="auto"/>
            </w:tcBorders>
            <w:shd w:val="clear" w:color="auto" w:fill="auto"/>
          </w:tcPr>
          <w:p w:rsidR="0062320E" w:rsidRPr="0062320E" w:rsidRDefault="0062320E" w:rsidP="0062320E">
            <w:pPr>
              <w:jc w:val="right"/>
              <w:rPr>
                <w:rFonts w:ascii="Arial" w:hAnsi="Arial" w:cs="Arial"/>
                <w:sz w:val="17"/>
                <w:szCs w:val="17"/>
              </w:rPr>
            </w:pPr>
            <w:r w:rsidRPr="0062320E">
              <w:rPr>
                <w:rFonts w:ascii="Arial" w:hAnsi="Arial" w:cs="Arial"/>
                <w:sz w:val="17"/>
                <w:szCs w:val="17"/>
              </w:rPr>
              <w:t xml:space="preserve">-3,078,137 </w:t>
            </w:r>
          </w:p>
        </w:tc>
        <w:tc>
          <w:tcPr>
            <w:tcW w:w="2180" w:type="dxa"/>
            <w:tcBorders>
              <w:top w:val="single" w:sz="4" w:space="0" w:color="auto"/>
              <w:left w:val="nil"/>
              <w:bottom w:val="single" w:sz="4" w:space="0" w:color="auto"/>
              <w:right w:val="single" w:sz="4" w:space="0" w:color="auto"/>
            </w:tcBorders>
            <w:shd w:val="clear" w:color="auto" w:fill="auto"/>
          </w:tcPr>
          <w:p w:rsidR="0062320E" w:rsidRPr="0062320E" w:rsidRDefault="0062320E" w:rsidP="0062320E">
            <w:pPr>
              <w:jc w:val="right"/>
              <w:rPr>
                <w:rFonts w:ascii="Arial" w:hAnsi="Arial" w:cs="Arial"/>
                <w:sz w:val="17"/>
                <w:szCs w:val="17"/>
              </w:rPr>
            </w:pPr>
            <w:r w:rsidRPr="0062320E">
              <w:rPr>
                <w:rFonts w:ascii="Arial" w:hAnsi="Arial" w:cs="Arial"/>
                <w:sz w:val="17"/>
                <w:szCs w:val="17"/>
              </w:rPr>
              <w:t xml:space="preserve">-2,418,820 </w:t>
            </w:r>
          </w:p>
        </w:tc>
      </w:tr>
      <w:tr w:rsidR="0062320E" w:rsidRPr="002D70DA" w:rsidTr="006232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2320E" w:rsidRPr="009831D5" w:rsidRDefault="0062320E" w:rsidP="0062320E">
            <w:pPr>
              <w:rPr>
                <w:rFonts w:ascii="Arial" w:hAnsi="Arial" w:cs="Arial"/>
                <w:sz w:val="17"/>
                <w:szCs w:val="17"/>
              </w:rPr>
            </w:pPr>
            <w:r w:rsidRPr="009831D5">
              <w:rPr>
                <w:rFonts w:ascii="Arial" w:hAnsi="Arial" w:cs="Arial"/>
                <w:sz w:val="17"/>
                <w:szCs w:val="17"/>
              </w:rPr>
              <w:t>Bancos/Tesorería</w:t>
            </w:r>
          </w:p>
        </w:tc>
        <w:tc>
          <w:tcPr>
            <w:tcW w:w="2180" w:type="dxa"/>
            <w:tcBorders>
              <w:top w:val="single" w:sz="4" w:space="0" w:color="auto"/>
              <w:left w:val="nil"/>
              <w:bottom w:val="single" w:sz="4" w:space="0" w:color="auto"/>
              <w:right w:val="single" w:sz="4" w:space="0" w:color="auto"/>
            </w:tcBorders>
            <w:shd w:val="clear" w:color="auto" w:fill="auto"/>
          </w:tcPr>
          <w:p w:rsidR="0062320E" w:rsidRPr="0062320E" w:rsidRDefault="0062320E" w:rsidP="0062320E">
            <w:pPr>
              <w:jc w:val="right"/>
              <w:rPr>
                <w:rFonts w:ascii="Arial" w:hAnsi="Arial" w:cs="Arial"/>
                <w:sz w:val="17"/>
                <w:szCs w:val="17"/>
              </w:rPr>
            </w:pPr>
            <w:r w:rsidRPr="0062320E">
              <w:rPr>
                <w:rFonts w:ascii="Arial" w:hAnsi="Arial" w:cs="Arial"/>
                <w:sz w:val="17"/>
                <w:szCs w:val="17"/>
              </w:rPr>
              <w:t xml:space="preserve"> 53,713,328 </w:t>
            </w:r>
          </w:p>
        </w:tc>
        <w:tc>
          <w:tcPr>
            <w:tcW w:w="2180" w:type="dxa"/>
            <w:tcBorders>
              <w:top w:val="single" w:sz="4" w:space="0" w:color="auto"/>
              <w:left w:val="nil"/>
              <w:bottom w:val="single" w:sz="4" w:space="0" w:color="auto"/>
              <w:right w:val="single" w:sz="4" w:space="0" w:color="auto"/>
            </w:tcBorders>
            <w:shd w:val="clear" w:color="auto" w:fill="auto"/>
          </w:tcPr>
          <w:p w:rsidR="0062320E" w:rsidRPr="0062320E" w:rsidRDefault="0062320E" w:rsidP="0062320E">
            <w:pPr>
              <w:jc w:val="right"/>
              <w:rPr>
                <w:rFonts w:ascii="Arial" w:hAnsi="Arial" w:cs="Arial"/>
                <w:sz w:val="17"/>
                <w:szCs w:val="17"/>
              </w:rPr>
            </w:pPr>
            <w:r w:rsidRPr="0062320E">
              <w:rPr>
                <w:rFonts w:ascii="Arial" w:hAnsi="Arial" w:cs="Arial"/>
                <w:sz w:val="17"/>
                <w:szCs w:val="17"/>
              </w:rPr>
              <w:t xml:space="preserve"> 25,423,900 </w:t>
            </w:r>
          </w:p>
        </w:tc>
      </w:tr>
      <w:tr w:rsidR="0062320E" w:rsidRPr="002D70DA" w:rsidTr="006232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2320E" w:rsidRPr="009831D5" w:rsidRDefault="0062320E" w:rsidP="0062320E">
            <w:pPr>
              <w:rPr>
                <w:rFonts w:ascii="Arial" w:hAnsi="Arial" w:cs="Arial"/>
                <w:sz w:val="17"/>
                <w:szCs w:val="17"/>
              </w:rPr>
            </w:pPr>
            <w:r w:rsidRPr="009831D5">
              <w:rPr>
                <w:rFonts w:ascii="Arial" w:hAnsi="Arial" w:cs="Arial"/>
                <w:sz w:val="17"/>
                <w:szCs w:val="17"/>
              </w:rPr>
              <w:t>Inversiones Temporales (Hasta 3 Meses)</w:t>
            </w:r>
          </w:p>
        </w:tc>
        <w:tc>
          <w:tcPr>
            <w:tcW w:w="2180" w:type="dxa"/>
            <w:tcBorders>
              <w:top w:val="single" w:sz="4" w:space="0" w:color="auto"/>
              <w:left w:val="nil"/>
              <w:bottom w:val="single" w:sz="4" w:space="0" w:color="auto"/>
              <w:right w:val="single" w:sz="4" w:space="0" w:color="auto"/>
            </w:tcBorders>
            <w:shd w:val="clear" w:color="auto" w:fill="auto"/>
          </w:tcPr>
          <w:p w:rsidR="0062320E" w:rsidRPr="0062320E" w:rsidRDefault="0062320E" w:rsidP="0062320E">
            <w:pPr>
              <w:jc w:val="right"/>
              <w:rPr>
                <w:rFonts w:ascii="Arial" w:hAnsi="Arial" w:cs="Arial"/>
                <w:sz w:val="17"/>
                <w:szCs w:val="17"/>
              </w:rPr>
            </w:pPr>
            <w:r w:rsidRPr="0062320E">
              <w:rPr>
                <w:rFonts w:ascii="Arial" w:hAnsi="Arial" w:cs="Arial"/>
                <w:sz w:val="17"/>
                <w:szCs w:val="17"/>
              </w:rPr>
              <w:t xml:space="preserve"> 8,826,424 </w:t>
            </w:r>
          </w:p>
        </w:tc>
        <w:tc>
          <w:tcPr>
            <w:tcW w:w="2180" w:type="dxa"/>
            <w:tcBorders>
              <w:top w:val="single" w:sz="4" w:space="0" w:color="auto"/>
              <w:left w:val="nil"/>
              <w:bottom w:val="single" w:sz="4" w:space="0" w:color="auto"/>
              <w:right w:val="single" w:sz="4" w:space="0" w:color="auto"/>
            </w:tcBorders>
            <w:shd w:val="clear" w:color="auto" w:fill="auto"/>
          </w:tcPr>
          <w:p w:rsidR="0062320E" w:rsidRPr="0062320E" w:rsidRDefault="0062320E" w:rsidP="0062320E">
            <w:pPr>
              <w:jc w:val="right"/>
              <w:rPr>
                <w:rFonts w:ascii="Arial" w:hAnsi="Arial" w:cs="Arial"/>
                <w:sz w:val="17"/>
                <w:szCs w:val="17"/>
              </w:rPr>
            </w:pPr>
            <w:r w:rsidRPr="0062320E">
              <w:rPr>
                <w:rFonts w:ascii="Arial" w:hAnsi="Arial" w:cs="Arial"/>
                <w:sz w:val="17"/>
                <w:szCs w:val="17"/>
              </w:rPr>
              <w:t xml:space="preserve"> 8,368,113 </w:t>
            </w:r>
          </w:p>
        </w:tc>
      </w:tr>
      <w:tr w:rsidR="0062320E" w:rsidRPr="002D70DA" w:rsidTr="0062320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2320E" w:rsidRPr="009831D5" w:rsidRDefault="0062320E" w:rsidP="0062320E">
            <w:pPr>
              <w:rPr>
                <w:rFonts w:ascii="Arial" w:hAnsi="Arial" w:cs="Arial"/>
                <w:sz w:val="17"/>
                <w:szCs w:val="17"/>
              </w:rPr>
            </w:pPr>
            <w:r w:rsidRPr="009831D5">
              <w:rPr>
                <w:rFonts w:ascii="Arial" w:hAnsi="Arial" w:cs="Arial"/>
                <w:sz w:val="17"/>
                <w:szCs w:val="17"/>
              </w:rPr>
              <w:t>Depósitos de</w:t>
            </w:r>
            <w:r>
              <w:rPr>
                <w:rFonts w:ascii="Arial" w:hAnsi="Arial" w:cs="Arial"/>
                <w:sz w:val="17"/>
                <w:szCs w:val="17"/>
              </w:rPr>
              <w:t xml:space="preserve"> Fondos de Terceros en Garantía</w:t>
            </w:r>
            <w:r w:rsidRPr="009831D5">
              <w:rPr>
                <w:rFonts w:ascii="Arial" w:hAnsi="Arial" w:cs="Arial"/>
                <w:sz w:val="17"/>
                <w:szCs w:val="17"/>
              </w:rPr>
              <w:t xml:space="preserve"> y/o Administración</w:t>
            </w:r>
          </w:p>
        </w:tc>
        <w:tc>
          <w:tcPr>
            <w:tcW w:w="2180" w:type="dxa"/>
            <w:tcBorders>
              <w:top w:val="single" w:sz="4" w:space="0" w:color="auto"/>
              <w:left w:val="nil"/>
              <w:bottom w:val="single" w:sz="4" w:space="0" w:color="auto"/>
              <w:right w:val="single" w:sz="4" w:space="0" w:color="auto"/>
            </w:tcBorders>
            <w:shd w:val="clear" w:color="auto" w:fill="auto"/>
          </w:tcPr>
          <w:p w:rsidR="0062320E" w:rsidRPr="0062320E" w:rsidRDefault="0062320E" w:rsidP="0062320E">
            <w:pPr>
              <w:jc w:val="right"/>
              <w:rPr>
                <w:rFonts w:ascii="Arial" w:hAnsi="Arial" w:cs="Arial"/>
                <w:sz w:val="17"/>
                <w:szCs w:val="17"/>
              </w:rPr>
            </w:pPr>
            <w:r w:rsidRPr="0062320E">
              <w:rPr>
                <w:rFonts w:ascii="Arial" w:hAnsi="Arial" w:cs="Arial"/>
                <w:sz w:val="17"/>
                <w:szCs w:val="17"/>
              </w:rPr>
              <w:t xml:space="preserve"> 46,474,110 </w:t>
            </w:r>
          </w:p>
        </w:tc>
        <w:tc>
          <w:tcPr>
            <w:tcW w:w="2180" w:type="dxa"/>
            <w:tcBorders>
              <w:top w:val="single" w:sz="4" w:space="0" w:color="auto"/>
              <w:left w:val="nil"/>
              <w:bottom w:val="single" w:sz="4" w:space="0" w:color="auto"/>
              <w:right w:val="single" w:sz="4" w:space="0" w:color="auto"/>
            </w:tcBorders>
            <w:shd w:val="clear" w:color="auto" w:fill="auto"/>
          </w:tcPr>
          <w:p w:rsidR="0062320E" w:rsidRPr="0062320E" w:rsidRDefault="0062320E" w:rsidP="0062320E">
            <w:pPr>
              <w:jc w:val="right"/>
              <w:rPr>
                <w:rFonts w:ascii="Arial" w:hAnsi="Arial" w:cs="Arial"/>
                <w:sz w:val="17"/>
                <w:szCs w:val="17"/>
              </w:rPr>
            </w:pPr>
            <w:r w:rsidRPr="0062320E">
              <w:rPr>
                <w:rFonts w:ascii="Arial" w:hAnsi="Arial" w:cs="Arial"/>
                <w:sz w:val="17"/>
                <w:szCs w:val="17"/>
              </w:rPr>
              <w:t xml:space="preserve"> 43,756,057 </w:t>
            </w:r>
          </w:p>
        </w:tc>
      </w:tr>
      <w:tr w:rsidR="0062320E" w:rsidRPr="002D70DA" w:rsidTr="0062320E">
        <w:trPr>
          <w:trHeight w:val="240"/>
          <w:jc w:val="center"/>
        </w:trPr>
        <w:tc>
          <w:tcPr>
            <w:tcW w:w="4900" w:type="dxa"/>
            <w:tcBorders>
              <w:top w:val="nil"/>
              <w:left w:val="nil"/>
              <w:bottom w:val="nil"/>
              <w:right w:val="single" w:sz="4" w:space="0" w:color="auto"/>
            </w:tcBorders>
            <w:shd w:val="clear" w:color="000000" w:fill="FFFFFF"/>
            <w:vAlign w:val="center"/>
            <w:hideMark/>
          </w:tcPr>
          <w:p w:rsidR="0062320E" w:rsidRPr="002D70DA" w:rsidRDefault="0062320E" w:rsidP="0062320E">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62320E" w:rsidRPr="0062320E" w:rsidRDefault="0062320E" w:rsidP="0062320E">
            <w:pPr>
              <w:jc w:val="right"/>
              <w:rPr>
                <w:rFonts w:ascii="Arial" w:hAnsi="Arial" w:cs="Arial"/>
                <w:b/>
                <w:sz w:val="17"/>
                <w:szCs w:val="17"/>
              </w:rPr>
            </w:pPr>
            <w:r w:rsidRPr="0062320E">
              <w:rPr>
                <w:rFonts w:ascii="Arial" w:hAnsi="Arial" w:cs="Arial"/>
                <w:b/>
                <w:sz w:val="17"/>
                <w:szCs w:val="17"/>
              </w:rPr>
              <w:t xml:space="preserve"> 105,935,725 </w:t>
            </w:r>
          </w:p>
        </w:tc>
        <w:tc>
          <w:tcPr>
            <w:tcW w:w="2180" w:type="dxa"/>
            <w:tcBorders>
              <w:top w:val="nil"/>
              <w:left w:val="single" w:sz="4" w:space="0" w:color="auto"/>
              <w:bottom w:val="single" w:sz="4" w:space="0" w:color="auto"/>
              <w:right w:val="single" w:sz="4" w:space="0" w:color="auto"/>
            </w:tcBorders>
            <w:shd w:val="clear" w:color="000000" w:fill="FFFFFF"/>
          </w:tcPr>
          <w:p w:rsidR="0062320E" w:rsidRPr="0062320E" w:rsidRDefault="0062320E" w:rsidP="0062320E">
            <w:pPr>
              <w:jc w:val="right"/>
              <w:rPr>
                <w:rFonts w:ascii="Arial" w:hAnsi="Arial" w:cs="Arial"/>
                <w:b/>
                <w:sz w:val="17"/>
                <w:szCs w:val="17"/>
              </w:rPr>
            </w:pPr>
            <w:r w:rsidRPr="0062320E">
              <w:rPr>
                <w:rFonts w:ascii="Arial" w:hAnsi="Arial" w:cs="Arial"/>
                <w:b/>
                <w:sz w:val="17"/>
                <w:szCs w:val="17"/>
              </w:rPr>
              <w:t xml:space="preserve"> 75,129,250 </w:t>
            </w:r>
          </w:p>
        </w:tc>
      </w:tr>
    </w:tbl>
    <w:p w:rsidR="006C5E04" w:rsidRDefault="009831D5"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Se presenta un </w:t>
      </w:r>
      <w:r w:rsidR="005E3432">
        <w:rPr>
          <w:rFonts w:ascii="Arial" w:eastAsia="Calibri" w:hAnsi="Arial" w:cs="Arial"/>
          <w:spacing w:val="-1"/>
          <w:sz w:val="17"/>
          <w:szCs w:val="17"/>
        </w:rPr>
        <w:t>in</w:t>
      </w:r>
      <w:r>
        <w:rPr>
          <w:rFonts w:ascii="Arial" w:eastAsia="Calibri" w:hAnsi="Arial" w:cs="Arial"/>
          <w:spacing w:val="-1"/>
          <w:sz w:val="17"/>
          <w:szCs w:val="17"/>
        </w:rPr>
        <w:t xml:space="preserve">cremento del </w:t>
      </w:r>
      <w:r w:rsidR="005E3432">
        <w:rPr>
          <w:rFonts w:ascii="Arial" w:eastAsia="Calibri" w:hAnsi="Arial" w:cs="Arial"/>
          <w:spacing w:val="-1"/>
          <w:sz w:val="17"/>
          <w:szCs w:val="17"/>
        </w:rPr>
        <w:t>41</w:t>
      </w:r>
      <w:r w:rsidR="000F7647" w:rsidRPr="000F7647">
        <w:rPr>
          <w:rFonts w:ascii="Arial" w:eastAsia="Calibri" w:hAnsi="Arial" w:cs="Arial"/>
          <w:spacing w:val="-1"/>
          <w:sz w:val="17"/>
          <w:szCs w:val="17"/>
        </w:rPr>
        <w:t xml:space="preserve">% en el rubro de efectivo y equivalentes derivado principalmente en </w:t>
      </w:r>
      <w:r w:rsidR="005E3432">
        <w:rPr>
          <w:rFonts w:ascii="Arial" w:eastAsia="Calibri" w:hAnsi="Arial" w:cs="Arial"/>
          <w:spacing w:val="-1"/>
          <w:sz w:val="17"/>
          <w:szCs w:val="17"/>
        </w:rPr>
        <w:t>el</w:t>
      </w:r>
      <w:r w:rsidR="000F7647" w:rsidRPr="000F7647">
        <w:rPr>
          <w:rFonts w:ascii="Arial" w:eastAsia="Calibri" w:hAnsi="Arial" w:cs="Arial"/>
          <w:spacing w:val="-1"/>
          <w:sz w:val="17"/>
          <w:szCs w:val="17"/>
        </w:rPr>
        <w:t xml:space="preserve"> </w:t>
      </w:r>
      <w:r w:rsidR="005E3432">
        <w:rPr>
          <w:rFonts w:ascii="Arial" w:eastAsia="Calibri" w:hAnsi="Arial" w:cs="Arial"/>
          <w:spacing w:val="-1"/>
          <w:sz w:val="17"/>
          <w:szCs w:val="17"/>
        </w:rPr>
        <w:t>aumento</w:t>
      </w:r>
      <w:r w:rsidR="000F7647" w:rsidRPr="000F7647">
        <w:rPr>
          <w:rFonts w:ascii="Arial" w:eastAsia="Calibri" w:hAnsi="Arial" w:cs="Arial"/>
          <w:spacing w:val="-1"/>
          <w:sz w:val="17"/>
          <w:szCs w:val="17"/>
        </w:rPr>
        <w:t xml:space="preserve"> en el rubro de </w:t>
      </w:r>
      <w:r w:rsidR="005E3432" w:rsidRPr="005E3432">
        <w:rPr>
          <w:rFonts w:ascii="Arial" w:eastAsia="Calibri" w:hAnsi="Arial" w:cs="Arial"/>
          <w:spacing w:val="-1"/>
          <w:sz w:val="17"/>
          <w:szCs w:val="17"/>
        </w:rPr>
        <w:t>Bancos/Tesorería</w:t>
      </w:r>
      <w:r w:rsidR="00E505C6">
        <w:rPr>
          <w:rFonts w:ascii="Arial" w:eastAsia="Calibri" w:hAnsi="Arial" w:cs="Arial"/>
          <w:spacing w:val="-1"/>
          <w:sz w:val="17"/>
          <w:szCs w:val="17"/>
        </w:rPr>
        <w:t xml:space="preserve"> por parte de</w:t>
      </w:r>
      <w:r w:rsidR="005E3432">
        <w:rPr>
          <w:rFonts w:ascii="Arial" w:eastAsia="Calibri" w:hAnsi="Arial" w:cs="Arial"/>
          <w:spacing w:val="-1"/>
          <w:sz w:val="17"/>
          <w:szCs w:val="17"/>
        </w:rPr>
        <w:t xml:space="preserve"> </w:t>
      </w:r>
      <w:r w:rsidR="00E505C6">
        <w:rPr>
          <w:rFonts w:ascii="Arial" w:eastAsia="Calibri" w:hAnsi="Arial" w:cs="Arial"/>
          <w:spacing w:val="-1"/>
          <w:sz w:val="17"/>
          <w:szCs w:val="17"/>
        </w:rPr>
        <w:t>l</w:t>
      </w:r>
      <w:r w:rsidR="005E3432">
        <w:rPr>
          <w:rFonts w:ascii="Arial" w:eastAsia="Calibri" w:hAnsi="Arial" w:cs="Arial"/>
          <w:spacing w:val="-1"/>
          <w:sz w:val="17"/>
          <w:szCs w:val="17"/>
        </w:rPr>
        <w:t>a</w:t>
      </w:r>
      <w:r w:rsidR="00E505C6">
        <w:rPr>
          <w:rFonts w:ascii="Arial" w:eastAsia="Calibri" w:hAnsi="Arial" w:cs="Arial"/>
          <w:spacing w:val="-1"/>
          <w:sz w:val="17"/>
          <w:szCs w:val="17"/>
        </w:rPr>
        <w:t xml:space="preserve"> </w:t>
      </w:r>
      <w:r w:rsidR="005E3432" w:rsidRPr="005E3432">
        <w:rPr>
          <w:rFonts w:ascii="Arial" w:eastAsia="Calibri" w:hAnsi="Arial" w:cs="Arial"/>
          <w:spacing w:val="-1"/>
          <w:sz w:val="17"/>
          <w:szCs w:val="17"/>
        </w:rPr>
        <w:t>Fiscalía General del Estado</w:t>
      </w:r>
      <w:r w:rsidR="000F7647" w:rsidRPr="000F7647">
        <w:rPr>
          <w:rFonts w:ascii="Arial" w:eastAsia="Calibri" w:hAnsi="Arial" w:cs="Arial"/>
          <w:spacing w:val="-1"/>
          <w:sz w:val="17"/>
          <w:szCs w:val="17"/>
        </w:rPr>
        <w:t>.</w:t>
      </w:r>
    </w:p>
    <w:p w:rsidR="006C5E04" w:rsidRDefault="006C5E04">
      <w:pPr>
        <w:rPr>
          <w:rFonts w:ascii="Arial" w:eastAsia="Calibri" w:hAnsi="Arial" w:cs="Arial"/>
          <w:spacing w:val="-1"/>
          <w:sz w:val="17"/>
          <w:szCs w:val="17"/>
        </w:rPr>
      </w:pPr>
      <w:r>
        <w:rPr>
          <w:rFonts w:ascii="Arial" w:eastAsia="Calibri" w:hAnsi="Arial" w:cs="Arial"/>
          <w:spacing w:val="-1"/>
          <w:sz w:val="17"/>
          <w:szCs w:val="17"/>
        </w:rPr>
        <w:br w:type="page"/>
      </w:r>
    </w:p>
    <w:p w:rsidR="00180288" w:rsidRDefault="006C5E04" w:rsidP="007B37D9">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6C5E04" w:rsidRPr="002D70DA" w:rsidRDefault="006C5E04" w:rsidP="006C5E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C5E04"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C5E04" w:rsidRPr="002D70DA" w:rsidRDefault="006C5E04" w:rsidP="002A78B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C5E04" w:rsidRPr="002D70DA" w:rsidRDefault="009831D5" w:rsidP="002A78B5">
            <w:pPr>
              <w:jc w:val="center"/>
              <w:rPr>
                <w:rFonts w:ascii="Arial" w:hAnsi="Arial" w:cs="Arial"/>
                <w:b/>
                <w:bCs/>
                <w:color w:val="000000"/>
                <w:sz w:val="17"/>
                <w:szCs w:val="17"/>
              </w:rPr>
            </w:pPr>
            <w:r>
              <w:rPr>
                <w:rFonts w:ascii="Arial" w:hAnsi="Arial" w:cs="Arial"/>
                <w:b/>
                <w:bCs/>
                <w:color w:val="000000"/>
                <w:sz w:val="17"/>
                <w:szCs w:val="17"/>
              </w:rPr>
              <w:t>2018</w:t>
            </w:r>
          </w:p>
        </w:tc>
      </w:tr>
      <w:tr w:rsidR="00002971"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Comisión de Transparencia y Acceso a la</w:t>
            </w:r>
          </w:p>
          <w:p w:rsidR="00002971" w:rsidRPr="00560A6D" w:rsidRDefault="00002971" w:rsidP="00002971">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463,299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1,033,090 </w:t>
            </w:r>
          </w:p>
        </w:tc>
      </w:tr>
      <w:tr w:rsidR="00002971"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560A6D" w:rsidRDefault="00002971" w:rsidP="00002971">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2,423,323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577,174 </w:t>
            </w:r>
          </w:p>
        </w:tc>
      </w:tr>
      <w:tr w:rsidR="00002971"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Entidad Superior de Fiscalización del Estado de</w:t>
            </w:r>
          </w:p>
          <w:p w:rsidR="00002971" w:rsidRPr="00C34218" w:rsidRDefault="00002971" w:rsidP="0000297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5,159,482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2,610,230 </w:t>
            </w:r>
          </w:p>
        </w:tc>
      </w:tr>
      <w:tr w:rsidR="00002971"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85,284,138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56,986,949 </w:t>
            </w:r>
          </w:p>
        </w:tc>
      </w:tr>
      <w:tr w:rsidR="00002971"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560A6D" w:rsidRDefault="00002971" w:rsidP="00002971">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9,104,530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11,056,969 </w:t>
            </w:r>
          </w:p>
        </w:tc>
      </w:tr>
      <w:tr w:rsidR="00002971"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1,291,357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1,095,750 </w:t>
            </w:r>
          </w:p>
        </w:tc>
      </w:tr>
      <w:tr w:rsidR="00002971"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C34218" w:rsidRDefault="00002971" w:rsidP="00002971">
            <w:pPr>
              <w:ind w:left="497"/>
              <w:rPr>
                <w:rFonts w:ascii="Arial" w:hAnsi="Arial" w:cs="Arial"/>
                <w:sz w:val="17"/>
                <w:szCs w:val="17"/>
              </w:rPr>
            </w:pPr>
            <w:r w:rsidRPr="00C34218">
              <w:rPr>
                <w:rFonts w:ascii="Arial" w:hAnsi="Arial" w:cs="Arial"/>
                <w:sz w:val="17"/>
                <w:szCs w:val="17"/>
              </w:rPr>
              <w:t>Tribunal de Justicia Administrativa del Estado de</w:t>
            </w:r>
          </w:p>
          <w:p w:rsidR="00002971" w:rsidRPr="00560A6D" w:rsidRDefault="00002971" w:rsidP="0000297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1,107,541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1,667,185 </w:t>
            </w:r>
          </w:p>
        </w:tc>
      </w:tr>
      <w:tr w:rsidR="00002971"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02971" w:rsidRPr="00560A6D" w:rsidRDefault="00002971" w:rsidP="00002971">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1,102,056 </w:t>
            </w:r>
          </w:p>
        </w:tc>
        <w:tc>
          <w:tcPr>
            <w:tcW w:w="2180" w:type="dxa"/>
            <w:tcBorders>
              <w:top w:val="single" w:sz="4" w:space="0" w:color="auto"/>
              <w:left w:val="nil"/>
              <w:bottom w:val="single" w:sz="4" w:space="0" w:color="auto"/>
              <w:right w:val="single" w:sz="4" w:space="0" w:color="auto"/>
            </w:tcBorders>
            <w:shd w:val="clear" w:color="auto" w:fill="auto"/>
          </w:tcPr>
          <w:p w:rsidR="00002971" w:rsidRPr="00002971" w:rsidRDefault="00002971" w:rsidP="00002971">
            <w:pPr>
              <w:jc w:val="right"/>
              <w:rPr>
                <w:rFonts w:ascii="Arial" w:hAnsi="Arial" w:cs="Arial"/>
                <w:sz w:val="17"/>
                <w:szCs w:val="17"/>
              </w:rPr>
            </w:pPr>
            <w:r w:rsidRPr="00002971">
              <w:rPr>
                <w:rFonts w:ascii="Arial" w:hAnsi="Arial" w:cs="Arial"/>
                <w:sz w:val="17"/>
                <w:szCs w:val="17"/>
              </w:rPr>
              <w:t xml:space="preserve">101,902 </w:t>
            </w:r>
          </w:p>
        </w:tc>
      </w:tr>
      <w:tr w:rsidR="00FF7945" w:rsidRPr="002D70DA" w:rsidTr="00FF7945">
        <w:trPr>
          <w:trHeight w:val="240"/>
          <w:jc w:val="center"/>
        </w:trPr>
        <w:tc>
          <w:tcPr>
            <w:tcW w:w="4900" w:type="dxa"/>
            <w:tcBorders>
              <w:top w:val="nil"/>
              <w:left w:val="nil"/>
              <w:bottom w:val="nil"/>
              <w:right w:val="single" w:sz="4" w:space="0" w:color="auto"/>
            </w:tcBorders>
            <w:shd w:val="clear" w:color="000000" w:fill="FFFFFF"/>
            <w:vAlign w:val="center"/>
            <w:hideMark/>
          </w:tcPr>
          <w:p w:rsidR="00FF7945" w:rsidRPr="002D70DA" w:rsidRDefault="00FF7945" w:rsidP="00FF794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F7945" w:rsidRPr="00FF7945" w:rsidRDefault="00FF7945" w:rsidP="00FF7945">
            <w:pPr>
              <w:jc w:val="right"/>
              <w:rPr>
                <w:rFonts w:ascii="Arial" w:hAnsi="Arial" w:cs="Arial"/>
                <w:b/>
                <w:sz w:val="17"/>
                <w:szCs w:val="17"/>
              </w:rPr>
            </w:pPr>
            <w:r w:rsidRPr="00FF7945">
              <w:rPr>
                <w:rFonts w:ascii="Arial" w:hAnsi="Arial" w:cs="Arial"/>
                <w:b/>
                <w:sz w:val="17"/>
                <w:szCs w:val="17"/>
              </w:rPr>
              <w:t xml:space="preserve">105,935,725 </w:t>
            </w:r>
          </w:p>
        </w:tc>
        <w:tc>
          <w:tcPr>
            <w:tcW w:w="2180" w:type="dxa"/>
            <w:tcBorders>
              <w:top w:val="nil"/>
              <w:left w:val="single" w:sz="4" w:space="0" w:color="auto"/>
              <w:bottom w:val="single" w:sz="4" w:space="0" w:color="auto"/>
              <w:right w:val="single" w:sz="4" w:space="0" w:color="auto"/>
            </w:tcBorders>
            <w:shd w:val="clear" w:color="000000" w:fill="FFFFFF"/>
          </w:tcPr>
          <w:p w:rsidR="00FF7945" w:rsidRPr="00FF7945" w:rsidRDefault="00FF7945" w:rsidP="00FF7945">
            <w:pPr>
              <w:jc w:val="right"/>
              <w:rPr>
                <w:rFonts w:ascii="Arial" w:hAnsi="Arial" w:cs="Arial"/>
                <w:b/>
                <w:sz w:val="17"/>
                <w:szCs w:val="17"/>
              </w:rPr>
            </w:pPr>
            <w:r w:rsidRPr="00FF7945">
              <w:rPr>
                <w:rFonts w:ascii="Arial" w:hAnsi="Arial" w:cs="Arial"/>
                <w:b/>
                <w:sz w:val="17"/>
                <w:szCs w:val="17"/>
              </w:rPr>
              <w:t xml:space="preserve">75,129,250 </w:t>
            </w:r>
          </w:p>
        </w:tc>
      </w:tr>
    </w:tbl>
    <w:p w:rsidR="007802CD" w:rsidRDefault="007802CD">
      <w:pPr>
        <w:rPr>
          <w:rFonts w:ascii="Arial" w:eastAsia="Calibri" w:hAnsi="Arial" w:cs="Arial"/>
          <w:b/>
          <w:spacing w:val="-1"/>
          <w:sz w:val="17"/>
          <w:szCs w:val="17"/>
        </w:rPr>
      </w:pPr>
    </w:p>
    <w:p w:rsidR="00362B5E" w:rsidRDefault="00362B5E">
      <w:pPr>
        <w:rPr>
          <w:rFonts w:ascii="Arial" w:eastAsia="Calibri" w:hAnsi="Arial" w:cs="Arial"/>
          <w:b/>
          <w:spacing w:val="-1"/>
          <w:sz w:val="17"/>
          <w:szCs w:val="17"/>
        </w:rPr>
      </w:pPr>
    </w:p>
    <w:p w:rsidR="006335BE" w:rsidRPr="002D70DA"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ED5AC6" w:rsidRPr="00560276" w:rsidRDefault="00ED5AC6" w:rsidP="00AE5C9D">
      <w:pPr>
        <w:spacing w:before="80" w:line="250" w:lineRule="exact"/>
        <w:ind w:left="709"/>
        <w:jc w:val="both"/>
        <w:rPr>
          <w:rFonts w:ascii="Arial" w:eastAsia="Calibri" w:hAnsi="Arial" w:cs="Arial"/>
          <w:spacing w:val="-1"/>
          <w:sz w:val="17"/>
          <w:szCs w:val="17"/>
        </w:rPr>
      </w:pPr>
      <w:r w:rsidRPr="00560276">
        <w:rPr>
          <w:rFonts w:ascii="Arial" w:eastAsia="Calibri" w:hAnsi="Arial" w:cs="Arial"/>
          <w:spacing w:val="-1"/>
          <w:sz w:val="17"/>
          <w:szCs w:val="17"/>
        </w:rPr>
        <w:t xml:space="preserve">En este apartado se informa la integración del rubro </w:t>
      </w:r>
      <w:r w:rsidR="00560276">
        <w:rPr>
          <w:rFonts w:ascii="Arial" w:eastAsia="Calibri" w:hAnsi="Arial" w:cs="Arial"/>
          <w:spacing w:val="-1"/>
          <w:sz w:val="17"/>
          <w:szCs w:val="17"/>
        </w:rPr>
        <w:t>D</w:t>
      </w:r>
      <w:r w:rsidR="00560276" w:rsidRPr="00560276">
        <w:rPr>
          <w:rFonts w:ascii="Arial" w:eastAsia="Calibri" w:hAnsi="Arial" w:cs="Arial"/>
          <w:spacing w:val="-1"/>
          <w:sz w:val="17"/>
          <w:szCs w:val="17"/>
        </w:rPr>
        <w:t xml:space="preserve">erechos a </w:t>
      </w:r>
      <w:r w:rsidR="00560276">
        <w:rPr>
          <w:rFonts w:ascii="Arial" w:eastAsia="Calibri" w:hAnsi="Arial" w:cs="Arial"/>
          <w:spacing w:val="-1"/>
          <w:sz w:val="17"/>
          <w:szCs w:val="17"/>
        </w:rPr>
        <w:t>R</w:t>
      </w:r>
      <w:r w:rsidR="00560276" w:rsidRPr="00560276">
        <w:rPr>
          <w:rFonts w:ascii="Arial" w:eastAsia="Calibri" w:hAnsi="Arial" w:cs="Arial"/>
          <w:spacing w:val="-1"/>
          <w:sz w:val="17"/>
          <w:szCs w:val="17"/>
        </w:rPr>
        <w:t xml:space="preserve">ecibir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 xml:space="preserve">fectivo o </w:t>
      </w:r>
      <w:r w:rsidR="00560276">
        <w:rPr>
          <w:rFonts w:ascii="Arial" w:eastAsia="Calibri" w:hAnsi="Arial" w:cs="Arial"/>
          <w:spacing w:val="-1"/>
          <w:sz w:val="17"/>
          <w:szCs w:val="17"/>
        </w:rPr>
        <w:t>E</w:t>
      </w:r>
      <w:r w:rsidR="00560276" w:rsidRPr="00560276">
        <w:rPr>
          <w:rFonts w:ascii="Arial" w:eastAsia="Calibri" w:hAnsi="Arial" w:cs="Arial"/>
          <w:spacing w:val="-1"/>
          <w:sz w:val="17"/>
          <w:szCs w:val="17"/>
        </w:rPr>
        <w:t>quivalentes</w:t>
      </w:r>
      <w:r w:rsidRPr="00560276">
        <w:rPr>
          <w:rFonts w:ascii="Arial" w:eastAsia="Calibri" w:hAnsi="Arial" w:cs="Arial"/>
          <w:spacing w:val="-1"/>
          <w:sz w:val="17"/>
          <w:szCs w:val="17"/>
        </w:rPr>
        <w:t xml:space="preserve"> del</w:t>
      </w:r>
      <w:r w:rsidR="00471C1E">
        <w:rPr>
          <w:rFonts w:ascii="Arial" w:eastAsia="Calibri" w:hAnsi="Arial" w:cs="Arial"/>
          <w:spacing w:val="-1"/>
          <w:sz w:val="17"/>
          <w:szCs w:val="17"/>
        </w:rPr>
        <w:t xml:space="preserve"> </w:t>
      </w:r>
      <w:r w:rsidR="0062320E">
        <w:rPr>
          <w:rFonts w:ascii="Arial" w:eastAsia="Calibri" w:hAnsi="Arial" w:cs="Arial"/>
          <w:spacing w:val="-1"/>
          <w:sz w:val="17"/>
          <w:szCs w:val="17"/>
        </w:rPr>
        <w:t>ÓRGANOS AUTÓNOMOS DEL ESTADO DE QUERÉTARO</w:t>
      </w:r>
      <w:r w:rsidRPr="00560276">
        <w:rPr>
          <w:rFonts w:ascii="Arial" w:eastAsia="Calibri" w:hAnsi="Arial" w:cs="Arial"/>
          <w:spacing w:val="-1"/>
          <w:sz w:val="17"/>
          <w:szCs w:val="17"/>
        </w:rPr>
        <w:t>:</w:t>
      </w:r>
    </w:p>
    <w:p w:rsidR="00ED5AC6" w:rsidRPr="00ED5AC6" w:rsidRDefault="00ED5AC6" w:rsidP="00560276">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D5AC6"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D5AC6" w:rsidRPr="002D70DA" w:rsidRDefault="00ED5AC6" w:rsidP="001A0060">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D5AC6"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FF7945"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F7945" w:rsidRPr="000A6857" w:rsidRDefault="00FF7945" w:rsidP="00FF7945">
            <w:pPr>
              <w:rPr>
                <w:rFonts w:ascii="Arial" w:hAnsi="Arial" w:cs="Arial"/>
                <w:sz w:val="17"/>
                <w:szCs w:val="17"/>
              </w:rPr>
            </w:pPr>
            <w:r w:rsidRPr="000A6857">
              <w:rPr>
                <w:rFonts w:ascii="Arial" w:hAnsi="Arial" w:cs="Arial"/>
                <w:sz w:val="17"/>
                <w:szCs w:val="17"/>
              </w:rPr>
              <w:t>Cuentas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-11,208 </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7,971,822 </w:t>
            </w:r>
          </w:p>
        </w:tc>
      </w:tr>
      <w:tr w:rsidR="00FF7945"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F7945" w:rsidRPr="000A6857" w:rsidRDefault="00FF7945" w:rsidP="00FF7945">
            <w:pPr>
              <w:rPr>
                <w:rFonts w:ascii="Arial" w:hAnsi="Arial" w:cs="Arial"/>
                <w:sz w:val="17"/>
                <w:szCs w:val="17"/>
              </w:rPr>
            </w:pPr>
            <w:r w:rsidRPr="000A6857">
              <w:rPr>
                <w:rFonts w:ascii="Arial" w:hAnsi="Arial" w:cs="Arial"/>
                <w:sz w:val="17"/>
                <w:szCs w:val="17"/>
              </w:rPr>
              <w:t>Deudores Diversos por Cobrar a Corto Plazo</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121,112 </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188,721 </w:t>
            </w:r>
          </w:p>
        </w:tc>
      </w:tr>
      <w:tr w:rsidR="00FF7945"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F7945" w:rsidRPr="000A6857" w:rsidRDefault="00FF7945" w:rsidP="00FF7945">
            <w:pPr>
              <w:rPr>
                <w:rFonts w:ascii="Arial" w:hAnsi="Arial" w:cs="Arial"/>
                <w:sz w:val="17"/>
                <w:szCs w:val="17"/>
              </w:rPr>
            </w:pPr>
            <w:r w:rsidRPr="000A6857">
              <w:rPr>
                <w:rFonts w:ascii="Arial" w:hAnsi="Arial" w:cs="Arial"/>
                <w:sz w:val="17"/>
                <w:szCs w:val="17"/>
              </w:rPr>
              <w:t>Ingresos por Recuperar a Corto Plazo</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270,183 </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135,069 </w:t>
            </w:r>
          </w:p>
        </w:tc>
      </w:tr>
      <w:tr w:rsidR="00FF7945"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F7945" w:rsidRPr="000A6857" w:rsidRDefault="00FF7945" w:rsidP="00FF7945">
            <w:pPr>
              <w:rPr>
                <w:rFonts w:ascii="Arial" w:hAnsi="Arial" w:cs="Arial"/>
                <w:sz w:val="17"/>
                <w:szCs w:val="17"/>
              </w:rPr>
            </w:pPr>
            <w:r w:rsidRPr="000A6857">
              <w:rPr>
                <w:rFonts w:ascii="Arial" w:hAnsi="Arial" w:cs="Arial"/>
                <w:sz w:val="17"/>
                <w:szCs w:val="17"/>
              </w:rPr>
              <w:t>Deudores por Anticipos de la Tesorería a Corto Plazo</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89,194 </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109,547 </w:t>
            </w:r>
          </w:p>
        </w:tc>
      </w:tr>
      <w:tr w:rsidR="00FF7945" w:rsidRPr="002D70DA" w:rsidTr="00FF794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FF7945" w:rsidRPr="000A6857" w:rsidRDefault="00FF7945" w:rsidP="00FF7945">
            <w:pPr>
              <w:rPr>
                <w:rFonts w:ascii="Arial" w:hAnsi="Arial" w:cs="Arial"/>
                <w:sz w:val="17"/>
                <w:szCs w:val="17"/>
              </w:rPr>
            </w:pPr>
            <w:r w:rsidRPr="000A6857">
              <w:rPr>
                <w:rFonts w:ascii="Arial" w:hAnsi="Arial" w:cs="Arial"/>
                <w:sz w:val="17"/>
                <w:szCs w:val="17"/>
              </w:rPr>
              <w:t>Otros Derechos a Recibir Efectivo o Equivalentes a Corto Plazo</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112,296 </w:t>
            </w:r>
          </w:p>
        </w:tc>
        <w:tc>
          <w:tcPr>
            <w:tcW w:w="2180" w:type="dxa"/>
            <w:tcBorders>
              <w:top w:val="single" w:sz="4" w:space="0" w:color="auto"/>
              <w:left w:val="nil"/>
              <w:bottom w:val="single" w:sz="4" w:space="0" w:color="auto"/>
              <w:right w:val="single" w:sz="4" w:space="0" w:color="auto"/>
            </w:tcBorders>
            <w:shd w:val="clear" w:color="auto" w:fill="auto"/>
          </w:tcPr>
          <w:p w:rsidR="00FF7945" w:rsidRPr="00FF7945" w:rsidRDefault="00FF7945" w:rsidP="00FF7945">
            <w:pPr>
              <w:jc w:val="right"/>
              <w:rPr>
                <w:rFonts w:ascii="Arial" w:hAnsi="Arial" w:cs="Arial"/>
                <w:sz w:val="17"/>
                <w:szCs w:val="17"/>
              </w:rPr>
            </w:pPr>
            <w:r w:rsidRPr="00FF7945">
              <w:rPr>
                <w:rFonts w:ascii="Arial" w:hAnsi="Arial" w:cs="Arial"/>
                <w:sz w:val="17"/>
                <w:szCs w:val="17"/>
              </w:rPr>
              <w:t xml:space="preserve"> 10,797 </w:t>
            </w:r>
          </w:p>
        </w:tc>
      </w:tr>
      <w:tr w:rsidR="00FF7945" w:rsidRPr="007C1336" w:rsidTr="00FF7945">
        <w:trPr>
          <w:trHeight w:val="240"/>
          <w:jc w:val="center"/>
        </w:trPr>
        <w:tc>
          <w:tcPr>
            <w:tcW w:w="4900" w:type="dxa"/>
            <w:tcBorders>
              <w:top w:val="nil"/>
              <w:left w:val="nil"/>
              <w:bottom w:val="nil"/>
              <w:right w:val="single" w:sz="4" w:space="0" w:color="auto"/>
            </w:tcBorders>
            <w:shd w:val="clear" w:color="000000" w:fill="FFFFFF"/>
            <w:vAlign w:val="center"/>
            <w:hideMark/>
          </w:tcPr>
          <w:p w:rsidR="00FF7945" w:rsidRPr="002D70DA" w:rsidRDefault="00FF7945" w:rsidP="00FF794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FF7945" w:rsidRPr="00FF7945" w:rsidRDefault="00FF7945" w:rsidP="00FF7945">
            <w:pPr>
              <w:jc w:val="right"/>
              <w:rPr>
                <w:rFonts w:ascii="Arial" w:hAnsi="Arial" w:cs="Arial"/>
                <w:b/>
                <w:sz w:val="17"/>
                <w:szCs w:val="17"/>
              </w:rPr>
            </w:pPr>
            <w:r w:rsidRPr="00FF7945">
              <w:rPr>
                <w:rFonts w:ascii="Arial" w:hAnsi="Arial" w:cs="Arial"/>
                <w:b/>
                <w:sz w:val="17"/>
                <w:szCs w:val="17"/>
              </w:rPr>
              <w:t xml:space="preserve"> 581,576 </w:t>
            </w:r>
          </w:p>
        </w:tc>
        <w:tc>
          <w:tcPr>
            <w:tcW w:w="2180" w:type="dxa"/>
            <w:tcBorders>
              <w:top w:val="nil"/>
              <w:left w:val="single" w:sz="4" w:space="0" w:color="auto"/>
              <w:bottom w:val="single" w:sz="4" w:space="0" w:color="auto"/>
              <w:right w:val="single" w:sz="4" w:space="0" w:color="auto"/>
            </w:tcBorders>
            <w:shd w:val="clear" w:color="000000" w:fill="FFFFFF"/>
          </w:tcPr>
          <w:p w:rsidR="00FF7945" w:rsidRPr="00FF7945" w:rsidRDefault="00FF7945" w:rsidP="00FF7945">
            <w:pPr>
              <w:jc w:val="right"/>
              <w:rPr>
                <w:rFonts w:ascii="Arial" w:hAnsi="Arial" w:cs="Arial"/>
                <w:b/>
                <w:sz w:val="17"/>
                <w:szCs w:val="17"/>
              </w:rPr>
            </w:pPr>
            <w:r w:rsidRPr="00FF7945">
              <w:rPr>
                <w:rFonts w:ascii="Arial" w:hAnsi="Arial" w:cs="Arial"/>
                <w:b/>
                <w:sz w:val="17"/>
                <w:szCs w:val="17"/>
              </w:rPr>
              <w:t xml:space="preserve"> 8,415,955 </w:t>
            </w:r>
          </w:p>
        </w:tc>
      </w:tr>
    </w:tbl>
    <w:p w:rsidR="002F3A90" w:rsidRDefault="002F3A90" w:rsidP="006335BE">
      <w:pPr>
        <w:spacing w:before="80" w:line="250" w:lineRule="exact"/>
        <w:ind w:left="709"/>
        <w:jc w:val="both"/>
        <w:rPr>
          <w:rFonts w:ascii="Arial" w:eastAsia="Calibri" w:hAnsi="Arial" w:cs="Arial"/>
          <w:spacing w:val="-1"/>
          <w:sz w:val="17"/>
          <w:szCs w:val="17"/>
        </w:rPr>
      </w:pPr>
    </w:p>
    <w:p w:rsidR="0055474B" w:rsidRDefault="002F3A9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El decremento en las </w:t>
      </w:r>
      <w:r w:rsidRPr="002F3A90">
        <w:rPr>
          <w:rFonts w:ascii="Arial" w:eastAsia="Calibri" w:hAnsi="Arial" w:cs="Arial"/>
          <w:spacing w:val="-1"/>
          <w:sz w:val="17"/>
          <w:szCs w:val="17"/>
        </w:rPr>
        <w:t xml:space="preserve">Cuentas por Cobrar a Corto Plazo </w:t>
      </w:r>
      <w:r>
        <w:rPr>
          <w:rFonts w:ascii="Arial" w:eastAsia="Calibri" w:hAnsi="Arial" w:cs="Arial"/>
          <w:spacing w:val="-1"/>
          <w:sz w:val="17"/>
          <w:szCs w:val="17"/>
        </w:rPr>
        <w:t xml:space="preserve">obedece principalmente a la disminución </w:t>
      </w:r>
      <w:r w:rsidR="000A6857">
        <w:rPr>
          <w:rFonts w:ascii="Arial" w:eastAsia="Calibri" w:hAnsi="Arial" w:cs="Arial"/>
          <w:spacing w:val="-1"/>
          <w:sz w:val="17"/>
          <w:szCs w:val="17"/>
        </w:rPr>
        <w:t xml:space="preserve">de las Cuentas por Cobrar a Corto Plazo que </w:t>
      </w:r>
      <w:r>
        <w:rPr>
          <w:rFonts w:ascii="Arial" w:eastAsia="Calibri" w:hAnsi="Arial" w:cs="Arial"/>
          <w:spacing w:val="-1"/>
          <w:sz w:val="17"/>
          <w:szCs w:val="17"/>
        </w:rPr>
        <w:t>experiment</w:t>
      </w:r>
      <w:r w:rsidR="000A6857">
        <w:rPr>
          <w:rFonts w:ascii="Arial" w:eastAsia="Calibri" w:hAnsi="Arial" w:cs="Arial"/>
          <w:spacing w:val="-1"/>
          <w:sz w:val="17"/>
          <w:szCs w:val="17"/>
        </w:rPr>
        <w:t xml:space="preserve">ó </w:t>
      </w:r>
      <w:r>
        <w:rPr>
          <w:rFonts w:ascii="Arial" w:eastAsia="Calibri" w:hAnsi="Arial" w:cs="Arial"/>
          <w:spacing w:val="-1"/>
          <w:sz w:val="17"/>
          <w:szCs w:val="17"/>
        </w:rPr>
        <w:t xml:space="preserve">la </w:t>
      </w:r>
      <w:r w:rsidRPr="002F3A90">
        <w:rPr>
          <w:rFonts w:ascii="Arial" w:eastAsia="Calibri" w:hAnsi="Arial" w:cs="Arial"/>
          <w:spacing w:val="-1"/>
          <w:sz w:val="17"/>
          <w:szCs w:val="17"/>
        </w:rPr>
        <w:t>Fiscalía General del Estado</w:t>
      </w:r>
      <w:r>
        <w:rPr>
          <w:rFonts w:ascii="Arial" w:eastAsia="Calibri" w:hAnsi="Arial" w:cs="Arial"/>
          <w:spacing w:val="-1"/>
          <w:sz w:val="17"/>
          <w:szCs w:val="17"/>
        </w:rPr>
        <w:t>.</w:t>
      </w:r>
    </w:p>
    <w:p w:rsidR="00C75BCA" w:rsidRDefault="00C75BCA">
      <w:pPr>
        <w:rPr>
          <w:rFonts w:ascii="Arial" w:eastAsia="Calibri" w:hAnsi="Arial" w:cs="Arial"/>
          <w:spacing w:val="-1"/>
          <w:sz w:val="17"/>
          <w:szCs w:val="17"/>
        </w:rPr>
      </w:pPr>
      <w:r>
        <w:rPr>
          <w:rFonts w:ascii="Arial" w:eastAsia="Calibri" w:hAnsi="Arial" w:cs="Arial"/>
          <w:spacing w:val="-1"/>
          <w:sz w:val="17"/>
          <w:szCs w:val="17"/>
        </w:rPr>
        <w:br w:type="page"/>
      </w:r>
    </w:p>
    <w:p w:rsidR="00780EE6" w:rsidRDefault="00780EE6" w:rsidP="00780EE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780EE6" w:rsidRPr="002D70DA" w:rsidRDefault="00780EE6" w:rsidP="00780E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A6857" w:rsidRPr="002D70DA" w:rsidTr="000017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A6857" w:rsidRPr="002D70DA" w:rsidRDefault="000A6857" w:rsidP="000B503E">
            <w:pPr>
              <w:jc w:val="center"/>
              <w:rPr>
                <w:rFonts w:ascii="Arial" w:hAnsi="Arial" w:cs="Arial"/>
                <w:b/>
                <w:bCs/>
                <w:color w:val="000000"/>
                <w:sz w:val="17"/>
                <w:szCs w:val="17"/>
              </w:rPr>
            </w:pPr>
            <w:r>
              <w:rPr>
                <w:rFonts w:ascii="Arial" w:hAnsi="Arial" w:cs="Arial"/>
                <w:b/>
                <w:bCs/>
                <w:color w:val="000000"/>
                <w:sz w:val="17"/>
                <w:szCs w:val="17"/>
              </w:rPr>
              <w:t>2018</w:t>
            </w:r>
          </w:p>
        </w:tc>
      </w:tr>
      <w:tr w:rsidR="003474DB" w:rsidRPr="002D70DA" w:rsidTr="000017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560A6D" w:rsidRDefault="003474DB" w:rsidP="003474DB">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3,252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11,930 </w:t>
            </w:r>
          </w:p>
        </w:tc>
      </w:tr>
      <w:tr w:rsidR="003474DB" w:rsidRPr="002D70DA" w:rsidTr="000017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ind w:left="497"/>
              <w:rPr>
                <w:rFonts w:ascii="Arial" w:hAnsi="Arial" w:cs="Arial"/>
                <w:sz w:val="17"/>
                <w:szCs w:val="17"/>
              </w:rPr>
            </w:pPr>
            <w:r w:rsidRPr="00C34218">
              <w:rPr>
                <w:rFonts w:ascii="Arial" w:hAnsi="Arial" w:cs="Arial"/>
                <w:sz w:val="17"/>
                <w:szCs w:val="17"/>
              </w:rPr>
              <w:t>Entidad Superior de Fiscalización del Estado de</w:t>
            </w:r>
          </w:p>
          <w:p w:rsidR="003474DB" w:rsidRPr="00C34218" w:rsidRDefault="003474DB" w:rsidP="003474D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115,125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44,100 </w:t>
            </w:r>
          </w:p>
        </w:tc>
      </w:tr>
      <w:tr w:rsidR="003474DB" w:rsidRPr="002D70DA" w:rsidTr="000017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-13,840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8,030,388 </w:t>
            </w:r>
          </w:p>
        </w:tc>
      </w:tr>
      <w:tr w:rsidR="003474DB" w:rsidRPr="002D70DA" w:rsidTr="000017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560A6D" w:rsidRDefault="003474DB" w:rsidP="003474DB">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72,673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73,686 </w:t>
            </w:r>
          </w:p>
        </w:tc>
      </w:tr>
      <w:tr w:rsidR="003474DB" w:rsidRPr="002D70DA" w:rsidTr="000017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393,782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248,826 </w:t>
            </w:r>
          </w:p>
        </w:tc>
      </w:tr>
      <w:tr w:rsidR="003474DB" w:rsidRPr="002D70DA" w:rsidTr="000017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C34218" w:rsidRDefault="003474DB" w:rsidP="003474DB">
            <w:pPr>
              <w:ind w:left="497"/>
              <w:rPr>
                <w:rFonts w:ascii="Arial" w:hAnsi="Arial" w:cs="Arial"/>
                <w:sz w:val="17"/>
                <w:szCs w:val="17"/>
              </w:rPr>
            </w:pPr>
            <w:r w:rsidRPr="00C34218">
              <w:rPr>
                <w:rFonts w:ascii="Arial" w:hAnsi="Arial" w:cs="Arial"/>
                <w:sz w:val="17"/>
                <w:szCs w:val="17"/>
              </w:rPr>
              <w:t>Tribunal de Justicia Administrativa del Estado de</w:t>
            </w:r>
          </w:p>
          <w:p w:rsidR="003474DB" w:rsidRPr="00560A6D" w:rsidRDefault="003474DB" w:rsidP="003474DB">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6,965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3,404 </w:t>
            </w:r>
          </w:p>
        </w:tc>
      </w:tr>
      <w:tr w:rsidR="003474DB" w:rsidRPr="002D70DA" w:rsidTr="000017B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474DB" w:rsidRPr="00560A6D" w:rsidRDefault="003474DB" w:rsidP="003474DB">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3,620 </w:t>
            </w:r>
          </w:p>
        </w:tc>
        <w:tc>
          <w:tcPr>
            <w:tcW w:w="2180" w:type="dxa"/>
            <w:tcBorders>
              <w:top w:val="single" w:sz="4" w:space="0" w:color="auto"/>
              <w:left w:val="nil"/>
              <w:bottom w:val="single" w:sz="4" w:space="0" w:color="auto"/>
              <w:right w:val="single" w:sz="4" w:space="0" w:color="auto"/>
            </w:tcBorders>
            <w:shd w:val="clear" w:color="auto" w:fill="auto"/>
          </w:tcPr>
          <w:p w:rsidR="003474DB" w:rsidRPr="003474DB" w:rsidRDefault="003474DB" w:rsidP="003474DB">
            <w:pPr>
              <w:jc w:val="right"/>
              <w:rPr>
                <w:rFonts w:ascii="Arial" w:hAnsi="Arial" w:cs="Arial"/>
                <w:sz w:val="17"/>
                <w:szCs w:val="17"/>
              </w:rPr>
            </w:pPr>
            <w:r w:rsidRPr="003474DB">
              <w:rPr>
                <w:rFonts w:ascii="Arial" w:hAnsi="Arial" w:cs="Arial"/>
                <w:sz w:val="17"/>
                <w:szCs w:val="17"/>
              </w:rPr>
              <w:t xml:space="preserve">3,620 </w:t>
            </w:r>
          </w:p>
        </w:tc>
      </w:tr>
      <w:tr w:rsidR="000017B6" w:rsidRPr="002D70DA" w:rsidTr="000017B6">
        <w:trPr>
          <w:trHeight w:val="240"/>
          <w:jc w:val="center"/>
        </w:trPr>
        <w:tc>
          <w:tcPr>
            <w:tcW w:w="4900" w:type="dxa"/>
            <w:tcBorders>
              <w:top w:val="nil"/>
              <w:left w:val="nil"/>
              <w:bottom w:val="nil"/>
              <w:right w:val="single" w:sz="4" w:space="0" w:color="auto"/>
            </w:tcBorders>
            <w:shd w:val="clear" w:color="000000" w:fill="FFFFFF"/>
            <w:vAlign w:val="center"/>
            <w:hideMark/>
          </w:tcPr>
          <w:p w:rsidR="000017B6" w:rsidRPr="002D70DA" w:rsidRDefault="000017B6" w:rsidP="000017B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017B6" w:rsidRPr="000017B6" w:rsidRDefault="000017B6" w:rsidP="000017B6">
            <w:pPr>
              <w:jc w:val="right"/>
              <w:rPr>
                <w:rFonts w:ascii="Arial" w:hAnsi="Arial" w:cs="Arial"/>
                <w:b/>
                <w:sz w:val="17"/>
                <w:szCs w:val="17"/>
              </w:rPr>
            </w:pPr>
            <w:r w:rsidRPr="000017B6">
              <w:rPr>
                <w:rFonts w:ascii="Arial" w:hAnsi="Arial" w:cs="Arial"/>
                <w:b/>
                <w:sz w:val="17"/>
                <w:szCs w:val="17"/>
              </w:rPr>
              <w:t xml:space="preserve">581,576 </w:t>
            </w:r>
          </w:p>
        </w:tc>
        <w:tc>
          <w:tcPr>
            <w:tcW w:w="2180" w:type="dxa"/>
            <w:tcBorders>
              <w:top w:val="nil"/>
              <w:left w:val="single" w:sz="4" w:space="0" w:color="auto"/>
              <w:bottom w:val="single" w:sz="4" w:space="0" w:color="auto"/>
              <w:right w:val="single" w:sz="4" w:space="0" w:color="auto"/>
            </w:tcBorders>
            <w:shd w:val="clear" w:color="000000" w:fill="FFFFFF"/>
          </w:tcPr>
          <w:p w:rsidR="000017B6" w:rsidRPr="000017B6" w:rsidRDefault="000017B6" w:rsidP="000017B6">
            <w:pPr>
              <w:jc w:val="right"/>
              <w:rPr>
                <w:rFonts w:ascii="Arial" w:hAnsi="Arial" w:cs="Arial"/>
                <w:b/>
                <w:sz w:val="17"/>
                <w:szCs w:val="17"/>
              </w:rPr>
            </w:pPr>
            <w:r w:rsidRPr="000017B6">
              <w:rPr>
                <w:rFonts w:ascii="Arial" w:hAnsi="Arial" w:cs="Arial"/>
                <w:b/>
                <w:sz w:val="17"/>
                <w:szCs w:val="17"/>
              </w:rPr>
              <w:t xml:space="preserve">8,415,955 </w:t>
            </w:r>
          </w:p>
        </w:tc>
      </w:tr>
    </w:tbl>
    <w:p w:rsidR="00583759" w:rsidRDefault="00583759" w:rsidP="00583759">
      <w:pPr>
        <w:spacing w:before="80" w:line="250" w:lineRule="exact"/>
        <w:ind w:left="360"/>
        <w:jc w:val="both"/>
        <w:rPr>
          <w:rFonts w:ascii="Arial" w:eastAsia="Calibri" w:hAnsi="Arial" w:cs="Arial"/>
          <w:b/>
          <w:spacing w:val="-1"/>
          <w:sz w:val="17"/>
          <w:szCs w:val="17"/>
        </w:rPr>
      </w:pPr>
    </w:p>
    <w:p w:rsidR="00583759" w:rsidRDefault="00583759">
      <w:pPr>
        <w:rPr>
          <w:rFonts w:ascii="Arial" w:eastAsia="Calibri" w:hAnsi="Arial" w:cs="Arial"/>
          <w:b/>
          <w:spacing w:val="-1"/>
          <w:sz w:val="17"/>
          <w:szCs w:val="17"/>
        </w:rPr>
      </w:pPr>
    </w:p>
    <w:p w:rsidR="00000A24" w:rsidRPr="002D70DA" w:rsidRDefault="00000A24"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000A24">
        <w:rPr>
          <w:rFonts w:ascii="Arial" w:eastAsia="Calibri" w:hAnsi="Arial" w:cs="Arial"/>
          <w:b/>
          <w:spacing w:val="-1"/>
          <w:sz w:val="17"/>
          <w:szCs w:val="17"/>
        </w:rPr>
        <w:t>Derechos a Recibir Bienes o Servicios</w:t>
      </w:r>
      <w:r w:rsidRPr="002D70DA">
        <w:rPr>
          <w:rFonts w:ascii="Arial" w:eastAsia="Calibri" w:hAnsi="Arial" w:cs="Arial"/>
          <w:b/>
          <w:spacing w:val="-1"/>
          <w:sz w:val="17"/>
          <w:szCs w:val="17"/>
        </w:rPr>
        <w:t>:</w:t>
      </w:r>
    </w:p>
    <w:p w:rsidR="00454AB9" w:rsidRDefault="00454AB9" w:rsidP="00454AB9">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En lo que respecta al rubro Derechos a Recibir Bienes o Servicios se informa</w:t>
      </w:r>
      <w:r w:rsidR="00A872D3">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A872D3">
        <w:rPr>
          <w:rFonts w:ascii="Arial" w:eastAsia="Calibri" w:hAnsi="Arial" w:cs="Arial"/>
          <w:spacing w:val="-1"/>
          <w:sz w:val="17"/>
          <w:szCs w:val="17"/>
        </w:rPr>
        <w:t xml:space="preserve"> es de</w:t>
      </w:r>
      <w:r w:rsidR="003F0877">
        <w:rPr>
          <w:rFonts w:ascii="Arial" w:eastAsia="Calibri" w:hAnsi="Arial" w:cs="Arial"/>
          <w:spacing w:val="-1"/>
          <w:sz w:val="17"/>
          <w:szCs w:val="17"/>
        </w:rPr>
        <w:t>:</w:t>
      </w:r>
    </w:p>
    <w:p w:rsidR="003F0877" w:rsidRPr="00ED5AC6" w:rsidRDefault="003F0877" w:rsidP="003F0877">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F0877" w:rsidRPr="002D70DA" w:rsidTr="00E435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F0877" w:rsidRPr="002D70DA" w:rsidRDefault="003F0877"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F0877"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E43529" w:rsidRPr="002D70DA" w:rsidTr="00E435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43529" w:rsidRPr="003C2199" w:rsidRDefault="00E43529" w:rsidP="00E43529">
            <w:pPr>
              <w:rPr>
                <w:rFonts w:ascii="Arial" w:hAnsi="Arial" w:cs="Arial"/>
                <w:sz w:val="17"/>
                <w:szCs w:val="17"/>
              </w:rPr>
            </w:pPr>
            <w:r w:rsidRPr="003C2199">
              <w:rPr>
                <w:rFonts w:ascii="Arial" w:hAnsi="Arial" w:cs="Arial"/>
                <w:sz w:val="17"/>
                <w:szCs w:val="17"/>
              </w:rPr>
              <w:t>Anticipo a Contratistas por Obras Públicas a Corto Plazo</w:t>
            </w:r>
          </w:p>
        </w:tc>
        <w:tc>
          <w:tcPr>
            <w:tcW w:w="2180" w:type="dxa"/>
            <w:tcBorders>
              <w:top w:val="single" w:sz="4" w:space="0" w:color="auto"/>
              <w:left w:val="nil"/>
              <w:bottom w:val="single" w:sz="4" w:space="0" w:color="auto"/>
              <w:right w:val="single" w:sz="4" w:space="0" w:color="auto"/>
            </w:tcBorders>
            <w:shd w:val="clear" w:color="auto" w:fill="auto"/>
          </w:tcPr>
          <w:p w:rsidR="00E43529" w:rsidRPr="00E43529" w:rsidRDefault="00E43529" w:rsidP="00E43529">
            <w:pPr>
              <w:jc w:val="right"/>
              <w:rPr>
                <w:rFonts w:ascii="Arial" w:hAnsi="Arial" w:cs="Arial"/>
                <w:sz w:val="17"/>
                <w:szCs w:val="17"/>
              </w:rPr>
            </w:pPr>
            <w:r w:rsidRPr="00E43529">
              <w:rPr>
                <w:rFonts w:ascii="Arial" w:hAnsi="Arial" w:cs="Arial"/>
                <w:sz w:val="17"/>
                <w:szCs w:val="17"/>
              </w:rPr>
              <w:t xml:space="preserve"> 160,709 </w:t>
            </w:r>
          </w:p>
        </w:tc>
        <w:tc>
          <w:tcPr>
            <w:tcW w:w="2180" w:type="dxa"/>
            <w:tcBorders>
              <w:top w:val="single" w:sz="4" w:space="0" w:color="auto"/>
              <w:left w:val="nil"/>
              <w:bottom w:val="single" w:sz="4" w:space="0" w:color="auto"/>
              <w:right w:val="single" w:sz="4" w:space="0" w:color="auto"/>
            </w:tcBorders>
            <w:shd w:val="clear" w:color="auto" w:fill="auto"/>
          </w:tcPr>
          <w:p w:rsidR="00E43529" w:rsidRPr="00E43529" w:rsidRDefault="00E43529" w:rsidP="00E43529">
            <w:pPr>
              <w:jc w:val="right"/>
              <w:rPr>
                <w:rFonts w:ascii="Arial" w:hAnsi="Arial" w:cs="Arial"/>
                <w:sz w:val="17"/>
                <w:szCs w:val="17"/>
              </w:rPr>
            </w:pPr>
            <w:r w:rsidRPr="00E43529">
              <w:rPr>
                <w:rFonts w:ascii="Arial" w:hAnsi="Arial" w:cs="Arial"/>
                <w:sz w:val="17"/>
                <w:szCs w:val="17"/>
              </w:rPr>
              <w:t xml:space="preserve"> 663,550 </w:t>
            </w:r>
          </w:p>
        </w:tc>
      </w:tr>
      <w:tr w:rsidR="00E43529" w:rsidRPr="002D70DA" w:rsidTr="00E435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43529" w:rsidRPr="003C2199" w:rsidRDefault="00E43529" w:rsidP="00E43529">
            <w:pPr>
              <w:rPr>
                <w:rFonts w:ascii="Arial" w:hAnsi="Arial" w:cs="Arial"/>
                <w:sz w:val="17"/>
                <w:szCs w:val="17"/>
              </w:rPr>
            </w:pPr>
            <w:r w:rsidRPr="003C2199">
              <w:rPr>
                <w:rFonts w:ascii="Arial" w:hAnsi="Arial" w:cs="Arial"/>
                <w:sz w:val="17"/>
                <w:szCs w:val="17"/>
              </w:rPr>
              <w:t>Anticipo a Proveedores por Adquisición de Bienes Inmuebles y Muebles a Corto Plazo</w:t>
            </w:r>
          </w:p>
        </w:tc>
        <w:tc>
          <w:tcPr>
            <w:tcW w:w="2180" w:type="dxa"/>
            <w:tcBorders>
              <w:top w:val="single" w:sz="4" w:space="0" w:color="auto"/>
              <w:left w:val="nil"/>
              <w:bottom w:val="single" w:sz="4" w:space="0" w:color="auto"/>
              <w:right w:val="single" w:sz="4" w:space="0" w:color="auto"/>
            </w:tcBorders>
            <w:shd w:val="clear" w:color="auto" w:fill="auto"/>
          </w:tcPr>
          <w:p w:rsidR="00E43529" w:rsidRPr="00E43529" w:rsidRDefault="00E43529" w:rsidP="00E43529">
            <w:pPr>
              <w:jc w:val="right"/>
              <w:rPr>
                <w:rFonts w:ascii="Arial" w:hAnsi="Arial" w:cs="Arial"/>
                <w:sz w:val="17"/>
                <w:szCs w:val="17"/>
              </w:rPr>
            </w:pPr>
            <w:r w:rsidRPr="00E43529">
              <w:rPr>
                <w:rFonts w:ascii="Arial" w:hAnsi="Arial" w:cs="Arial"/>
                <w:sz w:val="17"/>
                <w:szCs w:val="17"/>
              </w:rPr>
              <w:t xml:space="preserve"> -   </w:t>
            </w:r>
          </w:p>
        </w:tc>
        <w:tc>
          <w:tcPr>
            <w:tcW w:w="2180" w:type="dxa"/>
            <w:tcBorders>
              <w:top w:val="single" w:sz="4" w:space="0" w:color="auto"/>
              <w:left w:val="nil"/>
              <w:bottom w:val="single" w:sz="4" w:space="0" w:color="auto"/>
              <w:right w:val="single" w:sz="4" w:space="0" w:color="auto"/>
            </w:tcBorders>
            <w:shd w:val="clear" w:color="auto" w:fill="auto"/>
          </w:tcPr>
          <w:p w:rsidR="00E43529" w:rsidRPr="00E43529" w:rsidRDefault="00E43529" w:rsidP="00E43529">
            <w:pPr>
              <w:jc w:val="right"/>
              <w:rPr>
                <w:rFonts w:ascii="Arial" w:hAnsi="Arial" w:cs="Arial"/>
                <w:sz w:val="17"/>
                <w:szCs w:val="17"/>
              </w:rPr>
            </w:pPr>
            <w:r w:rsidRPr="00E43529">
              <w:rPr>
                <w:rFonts w:ascii="Arial" w:hAnsi="Arial" w:cs="Arial"/>
                <w:sz w:val="17"/>
                <w:szCs w:val="17"/>
              </w:rPr>
              <w:t xml:space="preserve"> 117,200 </w:t>
            </w:r>
          </w:p>
        </w:tc>
      </w:tr>
      <w:tr w:rsidR="00E43529" w:rsidRPr="007C1336" w:rsidTr="00E43529">
        <w:trPr>
          <w:trHeight w:val="240"/>
          <w:jc w:val="center"/>
        </w:trPr>
        <w:tc>
          <w:tcPr>
            <w:tcW w:w="4900" w:type="dxa"/>
            <w:tcBorders>
              <w:top w:val="nil"/>
              <w:left w:val="nil"/>
              <w:bottom w:val="nil"/>
              <w:right w:val="single" w:sz="4" w:space="0" w:color="auto"/>
            </w:tcBorders>
            <w:shd w:val="clear" w:color="000000" w:fill="FFFFFF"/>
            <w:vAlign w:val="center"/>
            <w:hideMark/>
          </w:tcPr>
          <w:p w:rsidR="00E43529" w:rsidRPr="003C2199" w:rsidRDefault="00E43529" w:rsidP="00E43529">
            <w:pPr>
              <w:rPr>
                <w:rFonts w:ascii="Arial" w:hAnsi="Arial" w:cs="Arial"/>
                <w:sz w:val="17"/>
                <w:szCs w:val="17"/>
              </w:rPr>
            </w:pPr>
            <w:r w:rsidRPr="003C2199">
              <w:rPr>
                <w:rFonts w:ascii="Arial" w:hAnsi="Arial" w:cs="Arial"/>
                <w:sz w:val="17"/>
                <w:szCs w:val="17"/>
              </w:rPr>
              <w:t>Total</w:t>
            </w:r>
          </w:p>
        </w:tc>
        <w:tc>
          <w:tcPr>
            <w:tcW w:w="2180" w:type="dxa"/>
            <w:tcBorders>
              <w:top w:val="single" w:sz="4" w:space="0" w:color="auto"/>
              <w:left w:val="single" w:sz="4" w:space="0" w:color="auto"/>
              <w:bottom w:val="single" w:sz="4" w:space="0" w:color="auto"/>
              <w:right w:val="nil"/>
            </w:tcBorders>
            <w:shd w:val="clear" w:color="000000" w:fill="FFFFFF"/>
          </w:tcPr>
          <w:p w:rsidR="00E43529" w:rsidRPr="00E43529" w:rsidRDefault="00E43529" w:rsidP="00E43529">
            <w:pPr>
              <w:jc w:val="right"/>
              <w:rPr>
                <w:rFonts w:ascii="Arial" w:hAnsi="Arial" w:cs="Arial"/>
                <w:b/>
                <w:sz w:val="17"/>
                <w:szCs w:val="17"/>
              </w:rPr>
            </w:pPr>
            <w:r w:rsidRPr="00E43529">
              <w:rPr>
                <w:rFonts w:ascii="Arial" w:hAnsi="Arial" w:cs="Arial"/>
                <w:b/>
                <w:sz w:val="17"/>
                <w:szCs w:val="17"/>
              </w:rPr>
              <w:t xml:space="preserve"> 160,709 </w:t>
            </w:r>
          </w:p>
        </w:tc>
        <w:tc>
          <w:tcPr>
            <w:tcW w:w="2180" w:type="dxa"/>
            <w:tcBorders>
              <w:top w:val="nil"/>
              <w:left w:val="single" w:sz="4" w:space="0" w:color="auto"/>
              <w:bottom w:val="single" w:sz="4" w:space="0" w:color="auto"/>
              <w:right w:val="single" w:sz="4" w:space="0" w:color="auto"/>
            </w:tcBorders>
            <w:shd w:val="clear" w:color="000000" w:fill="FFFFFF"/>
          </w:tcPr>
          <w:p w:rsidR="00E43529" w:rsidRPr="00E43529" w:rsidRDefault="00E43529" w:rsidP="00E43529">
            <w:pPr>
              <w:jc w:val="right"/>
              <w:rPr>
                <w:rFonts w:ascii="Arial" w:hAnsi="Arial" w:cs="Arial"/>
                <w:b/>
                <w:sz w:val="17"/>
                <w:szCs w:val="17"/>
              </w:rPr>
            </w:pPr>
            <w:r w:rsidRPr="00E43529">
              <w:rPr>
                <w:rFonts w:ascii="Arial" w:hAnsi="Arial" w:cs="Arial"/>
                <w:b/>
                <w:sz w:val="17"/>
                <w:szCs w:val="17"/>
              </w:rPr>
              <w:t xml:space="preserve"> 780,750 </w:t>
            </w:r>
          </w:p>
        </w:tc>
      </w:tr>
    </w:tbl>
    <w:p w:rsidR="003F0877" w:rsidRDefault="003F0877" w:rsidP="003F0877">
      <w:pPr>
        <w:spacing w:before="80" w:line="250" w:lineRule="exact"/>
        <w:ind w:left="709"/>
        <w:jc w:val="both"/>
        <w:rPr>
          <w:rFonts w:ascii="Arial" w:eastAsia="Calibri" w:hAnsi="Arial" w:cs="Arial"/>
          <w:spacing w:val="-1"/>
          <w:sz w:val="17"/>
          <w:szCs w:val="17"/>
        </w:rPr>
      </w:pPr>
    </w:p>
    <w:p w:rsidR="00CE0DEE" w:rsidRDefault="00CE0DEE" w:rsidP="003F0877">
      <w:pPr>
        <w:spacing w:before="80" w:line="250" w:lineRule="exact"/>
        <w:ind w:left="709"/>
        <w:jc w:val="both"/>
        <w:rPr>
          <w:rFonts w:ascii="Arial" w:eastAsia="Calibri" w:hAnsi="Arial" w:cs="Arial"/>
          <w:spacing w:val="-1"/>
          <w:sz w:val="17"/>
          <w:szCs w:val="17"/>
        </w:rPr>
      </w:pPr>
      <w:r w:rsidRPr="00CE0DEE">
        <w:rPr>
          <w:rFonts w:ascii="Arial" w:eastAsia="Calibri" w:hAnsi="Arial" w:cs="Arial"/>
          <w:spacing w:val="-1"/>
          <w:sz w:val="17"/>
          <w:szCs w:val="17"/>
        </w:rPr>
        <w:t>E</w:t>
      </w:r>
      <w:r w:rsidR="00822A6D">
        <w:rPr>
          <w:rFonts w:ascii="Arial" w:eastAsia="Calibri" w:hAnsi="Arial" w:cs="Arial"/>
          <w:spacing w:val="-1"/>
          <w:sz w:val="17"/>
          <w:szCs w:val="17"/>
        </w:rPr>
        <w:t>l de</w:t>
      </w:r>
      <w:r w:rsidRPr="00CE0DEE">
        <w:rPr>
          <w:rFonts w:ascii="Arial" w:eastAsia="Calibri" w:hAnsi="Arial" w:cs="Arial"/>
          <w:spacing w:val="-1"/>
          <w:sz w:val="17"/>
          <w:szCs w:val="17"/>
        </w:rPr>
        <w:t xml:space="preserve">cremento obedece </w:t>
      </w:r>
      <w:r w:rsidR="00822A6D">
        <w:rPr>
          <w:rFonts w:ascii="Arial" w:eastAsia="Calibri" w:hAnsi="Arial" w:cs="Arial"/>
          <w:spacing w:val="-1"/>
          <w:sz w:val="17"/>
          <w:szCs w:val="17"/>
        </w:rPr>
        <w:t xml:space="preserve">principalmente </w:t>
      </w:r>
      <w:r w:rsidRPr="00CE0DEE">
        <w:rPr>
          <w:rFonts w:ascii="Arial" w:eastAsia="Calibri" w:hAnsi="Arial" w:cs="Arial"/>
          <w:spacing w:val="-1"/>
          <w:sz w:val="17"/>
          <w:szCs w:val="17"/>
        </w:rPr>
        <w:t xml:space="preserve">a la </w:t>
      </w:r>
      <w:r w:rsidR="00822A6D">
        <w:rPr>
          <w:rFonts w:ascii="Arial" w:eastAsia="Calibri" w:hAnsi="Arial" w:cs="Arial"/>
          <w:spacing w:val="-1"/>
          <w:sz w:val="17"/>
          <w:szCs w:val="17"/>
        </w:rPr>
        <w:t>amortiz</w:t>
      </w:r>
      <w:r w:rsidRPr="00CE0DEE">
        <w:rPr>
          <w:rFonts w:ascii="Arial" w:eastAsia="Calibri" w:hAnsi="Arial" w:cs="Arial"/>
          <w:spacing w:val="-1"/>
          <w:sz w:val="17"/>
          <w:szCs w:val="17"/>
        </w:rPr>
        <w:t xml:space="preserve">ación de </w:t>
      </w:r>
      <w:r w:rsidR="00822A6D">
        <w:rPr>
          <w:rFonts w:ascii="Arial" w:eastAsia="Calibri" w:hAnsi="Arial" w:cs="Arial"/>
          <w:spacing w:val="-1"/>
          <w:sz w:val="17"/>
          <w:szCs w:val="17"/>
        </w:rPr>
        <w:t xml:space="preserve">Anticipos a Contratistas por Obras Públicas a Corto Plazo </w:t>
      </w:r>
      <w:r>
        <w:rPr>
          <w:rFonts w:ascii="Arial" w:eastAsia="Calibri" w:hAnsi="Arial" w:cs="Arial"/>
          <w:spacing w:val="-1"/>
          <w:sz w:val="17"/>
          <w:szCs w:val="17"/>
        </w:rPr>
        <w:t>por parte de</w:t>
      </w:r>
      <w:r w:rsidR="00E43529">
        <w:rPr>
          <w:rFonts w:ascii="Arial" w:eastAsia="Calibri" w:hAnsi="Arial" w:cs="Arial"/>
          <w:spacing w:val="-1"/>
          <w:sz w:val="17"/>
          <w:szCs w:val="17"/>
        </w:rPr>
        <w:t xml:space="preserve"> </w:t>
      </w:r>
      <w:r>
        <w:rPr>
          <w:rFonts w:ascii="Arial" w:eastAsia="Calibri" w:hAnsi="Arial" w:cs="Arial"/>
          <w:spacing w:val="-1"/>
          <w:sz w:val="17"/>
          <w:szCs w:val="17"/>
        </w:rPr>
        <w:t>l</w:t>
      </w:r>
      <w:r w:rsidR="00E43529">
        <w:rPr>
          <w:rFonts w:ascii="Arial" w:eastAsia="Calibri" w:hAnsi="Arial" w:cs="Arial"/>
          <w:spacing w:val="-1"/>
          <w:sz w:val="17"/>
          <w:szCs w:val="17"/>
        </w:rPr>
        <w:t>a</w:t>
      </w:r>
      <w:r>
        <w:rPr>
          <w:rFonts w:ascii="Arial" w:eastAsia="Calibri" w:hAnsi="Arial" w:cs="Arial"/>
          <w:spacing w:val="-1"/>
          <w:sz w:val="17"/>
          <w:szCs w:val="17"/>
        </w:rPr>
        <w:t xml:space="preserve"> </w:t>
      </w:r>
      <w:r w:rsidR="00E43529" w:rsidRPr="00E43529">
        <w:rPr>
          <w:rFonts w:ascii="Arial" w:eastAsia="Calibri" w:hAnsi="Arial" w:cs="Arial"/>
          <w:spacing w:val="-1"/>
          <w:sz w:val="17"/>
          <w:szCs w:val="17"/>
        </w:rPr>
        <w:t>Entidad Superior de Fiscalización del Estado</w:t>
      </w:r>
      <w:r>
        <w:rPr>
          <w:rFonts w:ascii="Arial" w:eastAsia="Calibri" w:hAnsi="Arial" w:cs="Arial"/>
          <w:spacing w:val="-1"/>
          <w:sz w:val="17"/>
          <w:szCs w:val="17"/>
        </w:rPr>
        <w:t>.</w:t>
      </w:r>
    </w:p>
    <w:p w:rsidR="00BD4604" w:rsidRDefault="00BD4604">
      <w:pPr>
        <w:rPr>
          <w:rFonts w:ascii="Arial" w:eastAsia="Calibri" w:hAnsi="Arial" w:cs="Arial"/>
          <w:spacing w:val="-1"/>
          <w:sz w:val="17"/>
          <w:szCs w:val="17"/>
        </w:rPr>
      </w:pPr>
      <w:r>
        <w:rPr>
          <w:rFonts w:ascii="Arial" w:eastAsia="Calibri" w:hAnsi="Arial" w:cs="Arial"/>
          <w:spacing w:val="-1"/>
          <w:sz w:val="17"/>
          <w:szCs w:val="17"/>
        </w:rPr>
        <w:br w:type="page"/>
      </w:r>
    </w:p>
    <w:p w:rsidR="003F0877" w:rsidRDefault="003F0877" w:rsidP="003F0877">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3F0877" w:rsidRPr="002D70DA" w:rsidRDefault="003F0877" w:rsidP="003F087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22A6D" w:rsidRPr="002D70DA" w:rsidTr="00B82F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22A6D" w:rsidRPr="002D70DA" w:rsidRDefault="00822A6D" w:rsidP="000B503E">
            <w:pPr>
              <w:jc w:val="center"/>
              <w:rPr>
                <w:rFonts w:ascii="Arial" w:hAnsi="Arial" w:cs="Arial"/>
                <w:b/>
                <w:bCs/>
                <w:color w:val="000000"/>
                <w:sz w:val="17"/>
                <w:szCs w:val="17"/>
              </w:rPr>
            </w:pPr>
            <w:r>
              <w:rPr>
                <w:rFonts w:ascii="Arial" w:hAnsi="Arial" w:cs="Arial"/>
                <w:b/>
                <w:bCs/>
                <w:color w:val="000000"/>
                <w:sz w:val="17"/>
                <w:szCs w:val="17"/>
              </w:rPr>
              <w:t>2018</w:t>
            </w:r>
          </w:p>
        </w:tc>
      </w:tr>
      <w:tr w:rsidR="00822A6D" w:rsidRPr="002D70DA" w:rsidTr="00B82F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560A6D" w:rsidRDefault="00822A6D" w:rsidP="00822A6D">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2,052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135,409 </w:t>
            </w:r>
          </w:p>
        </w:tc>
      </w:tr>
      <w:tr w:rsidR="00822A6D" w:rsidRPr="002D70DA" w:rsidTr="00B82F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ind w:left="497"/>
              <w:rPr>
                <w:rFonts w:ascii="Arial" w:hAnsi="Arial" w:cs="Arial"/>
                <w:sz w:val="17"/>
                <w:szCs w:val="17"/>
              </w:rPr>
            </w:pPr>
            <w:r w:rsidRPr="00C34218">
              <w:rPr>
                <w:rFonts w:ascii="Arial" w:hAnsi="Arial" w:cs="Arial"/>
                <w:sz w:val="17"/>
                <w:szCs w:val="17"/>
              </w:rPr>
              <w:t>Entidad Superior de Fiscalización del Estado de</w:t>
            </w:r>
          </w:p>
          <w:p w:rsidR="00822A6D" w:rsidRPr="00C34218" w:rsidRDefault="00822A6D" w:rsidP="00822A6D">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137,861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567,019 </w:t>
            </w:r>
          </w:p>
        </w:tc>
      </w:tr>
      <w:tr w:rsidR="00822A6D" w:rsidRPr="002D70DA" w:rsidTr="00B82F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17,400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0 </w:t>
            </w:r>
          </w:p>
        </w:tc>
      </w:tr>
      <w:tr w:rsidR="00822A6D" w:rsidRPr="002D70DA" w:rsidTr="00B82F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2,052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135,409 </w:t>
            </w:r>
          </w:p>
        </w:tc>
      </w:tr>
      <w:tr w:rsidR="00822A6D" w:rsidRPr="002D70DA" w:rsidTr="00B82F0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2A6D" w:rsidRPr="00C34218" w:rsidRDefault="00822A6D" w:rsidP="00822A6D">
            <w:pPr>
              <w:ind w:left="497"/>
              <w:rPr>
                <w:rFonts w:ascii="Arial" w:hAnsi="Arial" w:cs="Arial"/>
                <w:sz w:val="17"/>
                <w:szCs w:val="17"/>
              </w:rPr>
            </w:pPr>
            <w:r w:rsidRPr="00C34218">
              <w:rPr>
                <w:rFonts w:ascii="Arial" w:hAnsi="Arial" w:cs="Arial"/>
                <w:sz w:val="17"/>
                <w:szCs w:val="17"/>
              </w:rPr>
              <w:t>Tribunal de Justicia Administrativa del Estado de</w:t>
            </w:r>
          </w:p>
          <w:p w:rsidR="00822A6D" w:rsidRPr="00560A6D" w:rsidRDefault="00822A6D" w:rsidP="00822A6D">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822A6D" w:rsidRPr="00822A6D" w:rsidRDefault="00822A6D" w:rsidP="00822A6D">
            <w:pPr>
              <w:jc w:val="right"/>
              <w:rPr>
                <w:rFonts w:ascii="Arial" w:hAnsi="Arial" w:cs="Arial"/>
                <w:sz w:val="17"/>
                <w:szCs w:val="17"/>
              </w:rPr>
            </w:pPr>
            <w:r w:rsidRPr="00822A6D">
              <w:rPr>
                <w:rFonts w:ascii="Arial" w:hAnsi="Arial" w:cs="Arial"/>
                <w:sz w:val="17"/>
                <w:szCs w:val="17"/>
              </w:rPr>
              <w:t xml:space="preserve">78,322 </w:t>
            </w:r>
          </w:p>
        </w:tc>
      </w:tr>
      <w:tr w:rsidR="00B82F08" w:rsidRPr="002D70DA" w:rsidTr="00B82F08">
        <w:trPr>
          <w:trHeight w:val="240"/>
          <w:jc w:val="center"/>
        </w:trPr>
        <w:tc>
          <w:tcPr>
            <w:tcW w:w="4900" w:type="dxa"/>
            <w:tcBorders>
              <w:top w:val="nil"/>
              <w:left w:val="nil"/>
              <w:bottom w:val="nil"/>
              <w:right w:val="single" w:sz="4" w:space="0" w:color="auto"/>
            </w:tcBorders>
            <w:shd w:val="clear" w:color="000000" w:fill="FFFFFF"/>
            <w:vAlign w:val="center"/>
            <w:hideMark/>
          </w:tcPr>
          <w:p w:rsidR="00B82F08" w:rsidRPr="002D70DA" w:rsidRDefault="00B82F08" w:rsidP="00B82F0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82F08" w:rsidRPr="00B82F08" w:rsidRDefault="00B82F08" w:rsidP="00B82F08">
            <w:pPr>
              <w:jc w:val="right"/>
              <w:rPr>
                <w:rFonts w:ascii="Arial" w:hAnsi="Arial" w:cs="Arial"/>
                <w:b/>
                <w:sz w:val="17"/>
                <w:szCs w:val="17"/>
              </w:rPr>
            </w:pPr>
            <w:r w:rsidRPr="00B82F08">
              <w:rPr>
                <w:rFonts w:ascii="Arial" w:hAnsi="Arial" w:cs="Arial"/>
                <w:b/>
                <w:sz w:val="17"/>
                <w:szCs w:val="17"/>
              </w:rPr>
              <w:t xml:space="preserve">160,709 </w:t>
            </w:r>
          </w:p>
        </w:tc>
        <w:tc>
          <w:tcPr>
            <w:tcW w:w="2180" w:type="dxa"/>
            <w:tcBorders>
              <w:top w:val="nil"/>
              <w:left w:val="single" w:sz="4" w:space="0" w:color="auto"/>
              <w:bottom w:val="single" w:sz="4" w:space="0" w:color="auto"/>
              <w:right w:val="single" w:sz="4" w:space="0" w:color="auto"/>
            </w:tcBorders>
            <w:shd w:val="clear" w:color="000000" w:fill="FFFFFF"/>
          </w:tcPr>
          <w:p w:rsidR="00B82F08" w:rsidRPr="00B82F08" w:rsidRDefault="00B82F08" w:rsidP="00B82F08">
            <w:pPr>
              <w:jc w:val="right"/>
              <w:rPr>
                <w:rFonts w:ascii="Arial" w:hAnsi="Arial" w:cs="Arial"/>
                <w:b/>
                <w:sz w:val="17"/>
                <w:szCs w:val="17"/>
              </w:rPr>
            </w:pPr>
            <w:r w:rsidRPr="00B82F08">
              <w:rPr>
                <w:rFonts w:ascii="Arial" w:hAnsi="Arial" w:cs="Arial"/>
                <w:b/>
                <w:sz w:val="17"/>
                <w:szCs w:val="17"/>
              </w:rPr>
              <w:t xml:space="preserve">780,750 </w:t>
            </w:r>
          </w:p>
        </w:tc>
      </w:tr>
    </w:tbl>
    <w:p w:rsidR="003F0877" w:rsidRDefault="003F0877" w:rsidP="003F0877">
      <w:pPr>
        <w:spacing w:before="80" w:line="250" w:lineRule="exact"/>
        <w:ind w:left="360"/>
        <w:jc w:val="both"/>
        <w:rPr>
          <w:rFonts w:ascii="Arial" w:eastAsia="Calibri" w:hAnsi="Arial" w:cs="Arial"/>
          <w:b/>
          <w:spacing w:val="-1"/>
          <w:sz w:val="17"/>
          <w:szCs w:val="17"/>
        </w:rPr>
      </w:pPr>
    </w:p>
    <w:p w:rsidR="003F0877" w:rsidRDefault="003F0877" w:rsidP="00454AB9">
      <w:pPr>
        <w:spacing w:before="80" w:line="250" w:lineRule="exact"/>
        <w:ind w:left="709"/>
        <w:jc w:val="both"/>
        <w:rPr>
          <w:rFonts w:ascii="Arial" w:eastAsia="Calibri" w:hAnsi="Arial" w:cs="Arial"/>
          <w:spacing w:val="-1"/>
          <w:sz w:val="17"/>
          <w:szCs w:val="17"/>
        </w:rPr>
      </w:pPr>
    </w:p>
    <w:p w:rsidR="00000A24" w:rsidRPr="002D70DA" w:rsidRDefault="009D4BD1" w:rsidP="00000A24">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 xml:space="preserve">Otros Activos </w:t>
      </w:r>
      <w:r w:rsidR="00000A24" w:rsidRPr="00000A24">
        <w:rPr>
          <w:rFonts w:ascii="Arial" w:eastAsia="Calibri" w:hAnsi="Arial" w:cs="Arial"/>
          <w:b/>
          <w:spacing w:val="-1"/>
          <w:sz w:val="17"/>
          <w:szCs w:val="17"/>
        </w:rPr>
        <w:t>Circulantes</w:t>
      </w:r>
      <w:r w:rsidR="00000A24" w:rsidRPr="002D70DA">
        <w:rPr>
          <w:rFonts w:ascii="Arial" w:eastAsia="Calibri" w:hAnsi="Arial" w:cs="Arial"/>
          <w:b/>
          <w:spacing w:val="-1"/>
          <w:sz w:val="17"/>
          <w:szCs w:val="17"/>
        </w:rPr>
        <w:t>:</w:t>
      </w:r>
    </w:p>
    <w:p w:rsidR="00000A24" w:rsidRDefault="00000A24" w:rsidP="00000A24">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009D4BD1">
        <w:rPr>
          <w:rFonts w:ascii="Arial" w:eastAsia="Calibri" w:hAnsi="Arial" w:cs="Arial"/>
          <w:spacing w:val="-1"/>
          <w:sz w:val="17"/>
          <w:szCs w:val="17"/>
        </w:rPr>
        <w:t xml:space="preserve">Otros Activos </w:t>
      </w:r>
      <w:r w:rsidRPr="00000A24">
        <w:rPr>
          <w:rFonts w:ascii="Arial" w:eastAsia="Calibri" w:hAnsi="Arial" w:cs="Arial"/>
          <w:spacing w:val="-1"/>
          <w:sz w:val="17"/>
          <w:szCs w:val="17"/>
        </w:rPr>
        <w:t>Circulantes</w:t>
      </w:r>
      <w:r w:rsidRPr="00B467A0">
        <w:rPr>
          <w:rFonts w:ascii="Arial" w:eastAsia="Calibri" w:hAnsi="Arial" w:cs="Arial"/>
          <w:spacing w:val="-1"/>
          <w:sz w:val="17"/>
          <w:szCs w:val="17"/>
        </w:rPr>
        <w:t xml:space="preserve"> se informa </w:t>
      </w:r>
      <w:r w:rsidR="00660984">
        <w:rPr>
          <w:rFonts w:ascii="Arial" w:eastAsia="Calibri" w:hAnsi="Arial" w:cs="Arial"/>
          <w:spacing w:val="-1"/>
          <w:sz w:val="17"/>
          <w:szCs w:val="17"/>
        </w:rPr>
        <w:t xml:space="preserve">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sidR="00660984">
        <w:rPr>
          <w:rFonts w:ascii="Arial" w:eastAsia="Calibri" w:hAnsi="Arial" w:cs="Arial"/>
          <w:spacing w:val="-1"/>
          <w:sz w:val="17"/>
          <w:szCs w:val="17"/>
        </w:rPr>
        <w:t xml:space="preserve"> es de</w:t>
      </w:r>
      <w:r w:rsidR="0068468D">
        <w:rPr>
          <w:rFonts w:ascii="Arial" w:eastAsia="Calibri" w:hAnsi="Arial" w:cs="Arial"/>
          <w:spacing w:val="-1"/>
          <w:sz w:val="17"/>
          <w:szCs w:val="17"/>
        </w:rPr>
        <w:t>:</w:t>
      </w:r>
    </w:p>
    <w:p w:rsidR="0068468D" w:rsidRPr="00ED5AC6" w:rsidRDefault="0068468D" w:rsidP="0068468D">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68468D" w:rsidRPr="002D70DA" w:rsidTr="0068468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8468D" w:rsidRPr="002D70DA" w:rsidRDefault="0068468D"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468D"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8468D"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4256A5" w:rsidRPr="002D70DA" w:rsidTr="0068468D">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4256A5" w:rsidRPr="00560276" w:rsidRDefault="004256A5" w:rsidP="004256A5">
            <w:pPr>
              <w:rPr>
                <w:rFonts w:ascii="Arial" w:hAnsi="Arial" w:cs="Arial"/>
                <w:sz w:val="17"/>
                <w:szCs w:val="17"/>
              </w:rPr>
            </w:pPr>
            <w:r w:rsidRPr="0068468D">
              <w:rPr>
                <w:rFonts w:ascii="Arial" w:hAnsi="Arial" w:cs="Arial"/>
                <w:sz w:val="17"/>
                <w:szCs w:val="17"/>
              </w:rPr>
              <w:t>Valores en Garantía</w:t>
            </w:r>
          </w:p>
        </w:tc>
        <w:tc>
          <w:tcPr>
            <w:tcW w:w="2181"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c>
          <w:tcPr>
            <w:tcW w:w="2181"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r>
    </w:tbl>
    <w:p w:rsidR="0068468D" w:rsidRDefault="0068468D" w:rsidP="0068468D">
      <w:pPr>
        <w:autoSpaceDE w:val="0"/>
        <w:autoSpaceDN w:val="0"/>
        <w:adjustRightInd w:val="0"/>
        <w:spacing w:before="240" w:after="120"/>
        <w:ind w:left="709"/>
        <w:rPr>
          <w:rFonts w:ascii="Arial" w:eastAsia="Calibri" w:hAnsi="Arial" w:cs="Arial"/>
          <w:spacing w:val="-1"/>
          <w:sz w:val="17"/>
          <w:szCs w:val="17"/>
        </w:rPr>
      </w:pPr>
    </w:p>
    <w:p w:rsidR="0068468D" w:rsidRDefault="0068468D" w:rsidP="0068468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8468D" w:rsidRPr="002D70DA" w:rsidRDefault="0068468D" w:rsidP="0068468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256A5" w:rsidRPr="002D70DA" w:rsidRDefault="004256A5"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256A5"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256A5"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256A5" w:rsidRPr="00C34218" w:rsidRDefault="004256A5" w:rsidP="004256A5">
            <w:pPr>
              <w:rPr>
                <w:rFonts w:ascii="Arial" w:hAnsi="Arial" w:cs="Arial"/>
                <w:b/>
                <w:sz w:val="17"/>
                <w:szCs w:val="17"/>
              </w:rPr>
            </w:pPr>
            <w:r w:rsidRPr="00C34218">
              <w:rPr>
                <w:rFonts w:ascii="Arial" w:hAnsi="Arial" w:cs="Arial"/>
                <w:b/>
                <w:sz w:val="17"/>
                <w:szCs w:val="17"/>
              </w:rPr>
              <w:t>Órganos Autónomos</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r>
      <w:tr w:rsidR="004256A5" w:rsidRPr="002D70DA" w:rsidTr="00E90D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4256A5" w:rsidRPr="00C34218" w:rsidRDefault="004256A5" w:rsidP="004256A5">
            <w:pPr>
              <w:ind w:left="497"/>
              <w:rPr>
                <w:rFonts w:ascii="Arial" w:hAnsi="Arial" w:cs="Arial"/>
                <w:sz w:val="17"/>
                <w:szCs w:val="17"/>
              </w:rPr>
            </w:pPr>
            <w:r w:rsidRPr="00C34218">
              <w:rPr>
                <w:rFonts w:ascii="Arial" w:hAnsi="Arial" w:cs="Arial"/>
                <w:sz w:val="17"/>
                <w:szCs w:val="17"/>
              </w:rPr>
              <w:t>Entidad Superior de Fiscalización del Estado de</w:t>
            </w:r>
          </w:p>
          <w:p w:rsidR="004256A5" w:rsidRPr="00C34218" w:rsidRDefault="004256A5" w:rsidP="004256A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c>
          <w:tcPr>
            <w:tcW w:w="2180" w:type="dxa"/>
            <w:tcBorders>
              <w:top w:val="single" w:sz="4" w:space="0" w:color="auto"/>
              <w:left w:val="nil"/>
              <w:bottom w:val="single" w:sz="4" w:space="0" w:color="auto"/>
              <w:right w:val="single" w:sz="4" w:space="0" w:color="auto"/>
            </w:tcBorders>
            <w:shd w:val="clear" w:color="auto" w:fill="auto"/>
          </w:tcPr>
          <w:p w:rsidR="004256A5" w:rsidRPr="004256A5" w:rsidRDefault="004256A5" w:rsidP="004256A5">
            <w:pPr>
              <w:jc w:val="right"/>
              <w:rPr>
                <w:rFonts w:ascii="Arial" w:hAnsi="Arial" w:cs="Arial"/>
                <w:sz w:val="17"/>
                <w:szCs w:val="17"/>
              </w:rPr>
            </w:pPr>
            <w:r w:rsidRPr="004256A5">
              <w:rPr>
                <w:rFonts w:ascii="Arial" w:hAnsi="Arial" w:cs="Arial"/>
                <w:sz w:val="17"/>
                <w:szCs w:val="17"/>
              </w:rPr>
              <w:t xml:space="preserve">61,223 </w:t>
            </w:r>
          </w:p>
        </w:tc>
      </w:tr>
      <w:tr w:rsidR="004256A5" w:rsidRPr="002D70DA" w:rsidTr="00E90D8E">
        <w:trPr>
          <w:trHeight w:val="240"/>
          <w:jc w:val="center"/>
        </w:trPr>
        <w:tc>
          <w:tcPr>
            <w:tcW w:w="4900" w:type="dxa"/>
            <w:tcBorders>
              <w:top w:val="nil"/>
              <w:left w:val="nil"/>
              <w:bottom w:val="nil"/>
              <w:right w:val="single" w:sz="4" w:space="0" w:color="auto"/>
            </w:tcBorders>
            <w:shd w:val="clear" w:color="000000" w:fill="FFFFFF"/>
            <w:vAlign w:val="center"/>
            <w:hideMark/>
          </w:tcPr>
          <w:p w:rsidR="004256A5" w:rsidRPr="002D70DA" w:rsidRDefault="004256A5" w:rsidP="004256A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c>
          <w:tcPr>
            <w:tcW w:w="2180" w:type="dxa"/>
            <w:tcBorders>
              <w:top w:val="nil"/>
              <w:left w:val="single" w:sz="4" w:space="0" w:color="auto"/>
              <w:bottom w:val="single" w:sz="4" w:space="0" w:color="auto"/>
              <w:right w:val="single" w:sz="4" w:space="0" w:color="auto"/>
            </w:tcBorders>
            <w:shd w:val="clear" w:color="000000" w:fill="FFFFFF"/>
          </w:tcPr>
          <w:p w:rsidR="004256A5" w:rsidRPr="004256A5" w:rsidRDefault="004256A5" w:rsidP="004256A5">
            <w:pPr>
              <w:jc w:val="right"/>
              <w:rPr>
                <w:rFonts w:ascii="Arial" w:hAnsi="Arial" w:cs="Arial"/>
                <w:b/>
                <w:sz w:val="17"/>
                <w:szCs w:val="17"/>
              </w:rPr>
            </w:pPr>
            <w:r w:rsidRPr="004256A5">
              <w:rPr>
                <w:rFonts w:ascii="Arial" w:hAnsi="Arial" w:cs="Arial"/>
                <w:b/>
                <w:sz w:val="17"/>
                <w:szCs w:val="17"/>
              </w:rPr>
              <w:t xml:space="preserve">61,223 </w:t>
            </w:r>
          </w:p>
        </w:tc>
      </w:tr>
    </w:tbl>
    <w:p w:rsidR="0068468D" w:rsidRDefault="0068468D" w:rsidP="0068468D">
      <w:pPr>
        <w:spacing w:before="80" w:line="250" w:lineRule="exact"/>
        <w:ind w:left="709"/>
        <w:jc w:val="both"/>
        <w:rPr>
          <w:rFonts w:ascii="Arial" w:eastAsia="Calibri" w:hAnsi="Arial" w:cs="Arial"/>
          <w:spacing w:val="-1"/>
          <w:sz w:val="17"/>
          <w:szCs w:val="17"/>
        </w:rPr>
      </w:pPr>
    </w:p>
    <w:p w:rsidR="00660984" w:rsidRDefault="00660984" w:rsidP="00000A24">
      <w:pPr>
        <w:spacing w:before="80" w:line="250" w:lineRule="exact"/>
        <w:ind w:left="709"/>
        <w:jc w:val="both"/>
        <w:rPr>
          <w:rFonts w:ascii="Arial" w:eastAsia="Calibri" w:hAnsi="Arial" w:cs="Arial"/>
          <w:spacing w:val="-1"/>
          <w:sz w:val="17"/>
          <w:szCs w:val="17"/>
        </w:rPr>
      </w:pPr>
    </w:p>
    <w:p w:rsidR="007F4D82" w:rsidRDefault="007F4D82">
      <w:pPr>
        <w:rPr>
          <w:rFonts w:ascii="Arial" w:eastAsia="Calibri" w:hAnsi="Arial" w:cs="Arial"/>
          <w:b/>
          <w:spacing w:val="-1"/>
          <w:sz w:val="17"/>
          <w:szCs w:val="17"/>
        </w:rPr>
      </w:pPr>
      <w:r>
        <w:rPr>
          <w:rFonts w:ascii="Arial" w:eastAsia="Calibri" w:hAnsi="Arial" w:cs="Arial"/>
          <w:b/>
          <w:spacing w:val="-1"/>
          <w:sz w:val="17"/>
          <w:szCs w:val="17"/>
        </w:rPr>
        <w:br w:type="page"/>
      </w:r>
    </w:p>
    <w:p w:rsidR="008B1298" w:rsidRPr="002D70DA" w:rsidRDefault="008B1298" w:rsidP="008B1298">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8B1298">
        <w:rPr>
          <w:rFonts w:ascii="Arial" w:eastAsia="Calibri" w:hAnsi="Arial" w:cs="Arial"/>
          <w:b/>
          <w:spacing w:val="-1"/>
          <w:sz w:val="17"/>
          <w:szCs w:val="17"/>
        </w:rPr>
        <w:lastRenderedPageBreak/>
        <w:t>Derechos a Recibir Efecti</w:t>
      </w:r>
      <w:r>
        <w:rPr>
          <w:rFonts w:ascii="Arial" w:eastAsia="Calibri" w:hAnsi="Arial" w:cs="Arial"/>
          <w:b/>
          <w:spacing w:val="-1"/>
          <w:sz w:val="17"/>
          <w:szCs w:val="17"/>
        </w:rPr>
        <w:t>vo o Equivalentes a Largo Plazo</w:t>
      </w:r>
      <w:r w:rsidRPr="002D70DA">
        <w:rPr>
          <w:rFonts w:ascii="Arial" w:eastAsia="Calibri" w:hAnsi="Arial" w:cs="Arial"/>
          <w:b/>
          <w:spacing w:val="-1"/>
          <w:sz w:val="17"/>
          <w:szCs w:val="17"/>
        </w:rPr>
        <w:t>:</w:t>
      </w:r>
    </w:p>
    <w:p w:rsidR="008B1298" w:rsidRDefault="008B1298" w:rsidP="008B1298">
      <w:pPr>
        <w:spacing w:before="80" w:line="250" w:lineRule="exact"/>
        <w:ind w:left="709"/>
        <w:jc w:val="both"/>
        <w:rPr>
          <w:rFonts w:ascii="Arial" w:eastAsia="Calibri" w:hAnsi="Arial" w:cs="Arial"/>
          <w:spacing w:val="-1"/>
          <w:sz w:val="17"/>
          <w:szCs w:val="17"/>
        </w:rPr>
      </w:pPr>
      <w:r w:rsidRPr="00B467A0">
        <w:rPr>
          <w:rFonts w:ascii="Arial" w:eastAsia="Calibri" w:hAnsi="Arial" w:cs="Arial"/>
          <w:spacing w:val="-1"/>
          <w:sz w:val="17"/>
          <w:szCs w:val="17"/>
        </w:rPr>
        <w:t xml:space="preserve">En lo que respecta al rubro </w:t>
      </w:r>
      <w:r>
        <w:rPr>
          <w:rFonts w:ascii="Arial" w:eastAsia="Calibri" w:hAnsi="Arial" w:cs="Arial"/>
          <w:spacing w:val="-1"/>
          <w:sz w:val="17"/>
          <w:szCs w:val="17"/>
        </w:rPr>
        <w:t xml:space="preserve">de </w:t>
      </w:r>
      <w:r w:rsidRPr="008B1298">
        <w:rPr>
          <w:rFonts w:ascii="Arial" w:eastAsia="Calibri" w:hAnsi="Arial" w:cs="Arial"/>
          <w:spacing w:val="-1"/>
          <w:sz w:val="17"/>
          <w:szCs w:val="17"/>
        </w:rPr>
        <w:t>Derechos a Recibir Efecti</w:t>
      </w:r>
      <w:r>
        <w:rPr>
          <w:rFonts w:ascii="Arial" w:eastAsia="Calibri" w:hAnsi="Arial" w:cs="Arial"/>
          <w:spacing w:val="-1"/>
          <w:sz w:val="17"/>
          <w:szCs w:val="17"/>
        </w:rPr>
        <w:t xml:space="preserve">vo o Equivalentes a Largo Plazo </w:t>
      </w:r>
      <w:r w:rsidRPr="00B467A0">
        <w:rPr>
          <w:rFonts w:ascii="Arial" w:eastAsia="Calibri" w:hAnsi="Arial" w:cs="Arial"/>
          <w:spacing w:val="-1"/>
          <w:sz w:val="17"/>
          <w:szCs w:val="17"/>
        </w:rPr>
        <w:t>se informa</w:t>
      </w:r>
      <w:r>
        <w:rPr>
          <w:rFonts w:ascii="Arial" w:eastAsia="Calibri" w:hAnsi="Arial" w:cs="Arial"/>
          <w:spacing w:val="-1"/>
          <w:sz w:val="17"/>
          <w:szCs w:val="17"/>
        </w:rPr>
        <w:t xml:space="preserve"> que el saldo </w:t>
      </w:r>
      <w:r w:rsidRPr="00B467A0">
        <w:rPr>
          <w:rFonts w:ascii="Arial" w:eastAsia="Calibri" w:hAnsi="Arial" w:cs="Arial"/>
          <w:spacing w:val="-1"/>
          <w:sz w:val="17"/>
          <w:szCs w:val="17"/>
        </w:rPr>
        <w:t xml:space="preserve">al cierre del ejercicio del </w:t>
      </w:r>
      <w:r w:rsidR="009831D5">
        <w:rPr>
          <w:rFonts w:ascii="Arial" w:eastAsia="Calibri" w:hAnsi="Arial" w:cs="Arial"/>
          <w:spacing w:val="-1"/>
          <w:sz w:val="17"/>
          <w:szCs w:val="17"/>
        </w:rPr>
        <w:t>2019</w:t>
      </w:r>
      <w:r>
        <w:rPr>
          <w:rFonts w:ascii="Arial" w:eastAsia="Calibri" w:hAnsi="Arial" w:cs="Arial"/>
          <w:spacing w:val="-1"/>
          <w:sz w:val="17"/>
          <w:szCs w:val="17"/>
        </w:rPr>
        <w:t xml:space="preserve"> se integra por:</w:t>
      </w:r>
    </w:p>
    <w:p w:rsidR="008B1298" w:rsidRPr="00ED5AC6" w:rsidRDefault="008B1298" w:rsidP="008B1298">
      <w:pPr>
        <w:pStyle w:val="Prrafodelista"/>
        <w:autoSpaceDE w:val="0"/>
        <w:autoSpaceDN w:val="0"/>
        <w:adjustRightInd w:val="0"/>
        <w:spacing w:before="240" w:after="120"/>
        <w:jc w:val="center"/>
        <w:rPr>
          <w:rFonts w:ascii="Arial" w:eastAsia="Calibri" w:hAnsi="Arial" w:cs="Arial"/>
          <w:b/>
          <w:spacing w:val="-1"/>
          <w:sz w:val="17"/>
          <w:szCs w:val="17"/>
        </w:rPr>
      </w:pPr>
      <w:r w:rsidRPr="00ED5AC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8B1298" w:rsidRPr="002D70DA" w:rsidTr="0045314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B1298" w:rsidRPr="002D70DA" w:rsidRDefault="008B1298" w:rsidP="00C34218">
            <w:pPr>
              <w:jc w:val="center"/>
              <w:rPr>
                <w:rFonts w:ascii="Arial" w:hAnsi="Arial" w:cs="Arial"/>
                <w:b/>
                <w:bCs/>
                <w:color w:val="000000"/>
                <w:sz w:val="17"/>
                <w:szCs w:val="17"/>
              </w:rPr>
            </w:pPr>
            <w:r>
              <w:rPr>
                <w:rFonts w:ascii="Arial" w:hAnsi="Arial" w:cs="Arial"/>
                <w:b/>
                <w:bCs/>
                <w:color w:val="000000"/>
                <w:sz w:val="17"/>
                <w:szCs w:val="17"/>
              </w:rPr>
              <w:t>Concepto</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B1298"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B1298" w:rsidRPr="002D70DA" w:rsidRDefault="009831D5" w:rsidP="00C34218">
            <w:pPr>
              <w:jc w:val="center"/>
              <w:rPr>
                <w:rFonts w:ascii="Arial" w:hAnsi="Arial" w:cs="Arial"/>
                <w:b/>
                <w:bCs/>
                <w:color w:val="000000"/>
                <w:sz w:val="17"/>
                <w:szCs w:val="17"/>
              </w:rPr>
            </w:pPr>
            <w:r>
              <w:rPr>
                <w:rFonts w:ascii="Arial" w:hAnsi="Arial" w:cs="Arial"/>
                <w:b/>
                <w:bCs/>
                <w:color w:val="000000"/>
                <w:sz w:val="17"/>
                <w:szCs w:val="17"/>
              </w:rPr>
              <w:t>2018</w:t>
            </w:r>
          </w:p>
        </w:tc>
      </w:tr>
      <w:tr w:rsidR="00C60EB5" w:rsidRPr="002D70DA" w:rsidTr="00453143">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C60EB5" w:rsidRPr="008B1298" w:rsidRDefault="00C60EB5" w:rsidP="00C60EB5">
            <w:pPr>
              <w:rPr>
                <w:rFonts w:ascii="Arial" w:hAnsi="Arial" w:cs="Arial"/>
                <w:sz w:val="17"/>
                <w:szCs w:val="17"/>
              </w:rPr>
            </w:pPr>
            <w:r w:rsidRPr="00453143">
              <w:rPr>
                <w:rFonts w:ascii="Arial" w:hAnsi="Arial" w:cs="Arial"/>
                <w:sz w:val="17"/>
                <w:szCs w:val="17"/>
              </w:rPr>
              <w:t>Otros Derechos a Recibir Efectivo o Equivalentes a Largo Plazo</w:t>
            </w:r>
          </w:p>
        </w:tc>
        <w:tc>
          <w:tcPr>
            <w:tcW w:w="2181" w:type="dxa"/>
            <w:tcBorders>
              <w:top w:val="single" w:sz="4" w:space="0" w:color="auto"/>
              <w:left w:val="nil"/>
              <w:bottom w:val="single" w:sz="4" w:space="0" w:color="auto"/>
              <w:right w:val="single" w:sz="4" w:space="0" w:color="auto"/>
            </w:tcBorders>
            <w:shd w:val="clear" w:color="auto" w:fill="auto"/>
          </w:tcPr>
          <w:p w:rsidR="00C60EB5" w:rsidRPr="00C60EB5" w:rsidRDefault="00C60EB5" w:rsidP="00C60EB5">
            <w:pPr>
              <w:jc w:val="right"/>
              <w:rPr>
                <w:rFonts w:ascii="Arial" w:hAnsi="Arial" w:cs="Arial"/>
                <w:b/>
                <w:sz w:val="17"/>
                <w:szCs w:val="17"/>
              </w:rPr>
            </w:pPr>
            <w:r w:rsidRPr="00C60EB5">
              <w:rPr>
                <w:rFonts w:ascii="Arial" w:hAnsi="Arial" w:cs="Arial"/>
                <w:b/>
                <w:sz w:val="17"/>
                <w:szCs w:val="17"/>
              </w:rPr>
              <w:t xml:space="preserve"> 117,200 </w:t>
            </w:r>
          </w:p>
        </w:tc>
        <w:tc>
          <w:tcPr>
            <w:tcW w:w="2181" w:type="dxa"/>
            <w:tcBorders>
              <w:top w:val="single" w:sz="4" w:space="0" w:color="auto"/>
              <w:left w:val="nil"/>
              <w:bottom w:val="single" w:sz="4" w:space="0" w:color="auto"/>
              <w:right w:val="single" w:sz="4" w:space="0" w:color="auto"/>
            </w:tcBorders>
            <w:shd w:val="clear" w:color="auto" w:fill="auto"/>
          </w:tcPr>
          <w:p w:rsidR="00C60EB5" w:rsidRPr="00C60EB5" w:rsidRDefault="00DD6250" w:rsidP="00C60EB5">
            <w:pPr>
              <w:jc w:val="right"/>
              <w:rPr>
                <w:rFonts w:ascii="Arial" w:hAnsi="Arial" w:cs="Arial"/>
                <w:b/>
                <w:sz w:val="17"/>
                <w:szCs w:val="17"/>
              </w:rPr>
            </w:pPr>
            <w:r>
              <w:rPr>
                <w:rFonts w:ascii="Arial" w:hAnsi="Arial" w:cs="Arial"/>
                <w:b/>
                <w:sz w:val="17"/>
                <w:szCs w:val="17"/>
              </w:rPr>
              <w:t>0</w:t>
            </w:r>
            <w:r w:rsidR="00C60EB5" w:rsidRPr="00C60EB5">
              <w:rPr>
                <w:rFonts w:ascii="Arial" w:hAnsi="Arial" w:cs="Arial"/>
                <w:b/>
                <w:sz w:val="17"/>
                <w:szCs w:val="17"/>
              </w:rPr>
              <w:t xml:space="preserve"> </w:t>
            </w:r>
          </w:p>
        </w:tc>
      </w:tr>
    </w:tbl>
    <w:p w:rsidR="00186E15" w:rsidRDefault="00186E15" w:rsidP="00C60EB5">
      <w:pPr>
        <w:spacing w:before="80" w:line="250" w:lineRule="exact"/>
        <w:ind w:left="709"/>
        <w:jc w:val="both"/>
        <w:rPr>
          <w:rFonts w:ascii="Arial" w:eastAsia="Calibri" w:hAnsi="Arial" w:cs="Arial"/>
          <w:spacing w:val="-1"/>
          <w:sz w:val="17"/>
          <w:szCs w:val="17"/>
        </w:rPr>
      </w:pPr>
    </w:p>
    <w:p w:rsidR="00C60EB5" w:rsidRPr="00362B5E" w:rsidRDefault="00DD6250" w:rsidP="00C60EB5">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Esta </w:t>
      </w:r>
      <w:r w:rsidR="00C60EB5">
        <w:rPr>
          <w:rFonts w:ascii="Arial" w:eastAsia="Calibri" w:hAnsi="Arial" w:cs="Arial"/>
          <w:spacing w:val="-1"/>
          <w:sz w:val="17"/>
          <w:szCs w:val="17"/>
        </w:rPr>
        <w:t xml:space="preserve">cuenta </w:t>
      </w:r>
      <w:r>
        <w:rPr>
          <w:rFonts w:ascii="Arial" w:eastAsia="Calibri" w:hAnsi="Arial" w:cs="Arial"/>
          <w:spacing w:val="-1"/>
          <w:sz w:val="17"/>
          <w:szCs w:val="17"/>
        </w:rPr>
        <w:t xml:space="preserve">corresponde a la </w:t>
      </w:r>
      <w:r w:rsidRPr="00DD6250">
        <w:rPr>
          <w:rFonts w:ascii="Arial" w:eastAsia="Calibri" w:hAnsi="Arial" w:cs="Arial"/>
          <w:spacing w:val="-1"/>
          <w:sz w:val="17"/>
          <w:szCs w:val="17"/>
        </w:rPr>
        <w:t>Defensoría de los Derechos Humanos</w:t>
      </w:r>
      <w:r w:rsidR="00C60EB5" w:rsidRPr="00362B5E">
        <w:rPr>
          <w:rFonts w:ascii="Arial" w:eastAsia="Calibri" w:hAnsi="Arial" w:cs="Arial"/>
          <w:spacing w:val="-1"/>
          <w:sz w:val="17"/>
          <w:szCs w:val="17"/>
        </w:rPr>
        <w:t>.</w:t>
      </w:r>
    </w:p>
    <w:p w:rsidR="00186E15" w:rsidRPr="002D70DA" w:rsidRDefault="00186E15" w:rsidP="008B1298">
      <w:pPr>
        <w:autoSpaceDE w:val="0"/>
        <w:autoSpaceDN w:val="0"/>
        <w:adjustRightInd w:val="0"/>
        <w:spacing w:before="240" w:after="120"/>
        <w:jc w:val="center"/>
        <w:rPr>
          <w:rFonts w:ascii="Arial" w:eastAsia="Calibri" w:hAnsi="Arial" w:cs="Arial"/>
          <w:b/>
          <w:spacing w:val="-1"/>
          <w:sz w:val="17"/>
          <w:szCs w:val="17"/>
        </w:rPr>
      </w:pPr>
    </w:p>
    <w:p w:rsidR="007A5CAF" w:rsidRPr="002D70DA" w:rsidRDefault="00A84762" w:rsidP="00A84762">
      <w:pPr>
        <w:pStyle w:val="Prrafodelista"/>
        <w:numPr>
          <w:ilvl w:val="0"/>
          <w:numId w:val="8"/>
        </w:numPr>
        <w:spacing w:before="80" w:line="250" w:lineRule="exact"/>
        <w:contextualSpacing w:val="0"/>
        <w:jc w:val="both"/>
        <w:rPr>
          <w:rFonts w:ascii="Arial" w:eastAsia="Calibri" w:hAnsi="Arial" w:cs="Arial"/>
          <w:b/>
          <w:spacing w:val="-1"/>
          <w:sz w:val="17"/>
          <w:szCs w:val="17"/>
        </w:rPr>
      </w:pPr>
      <w:r w:rsidRPr="00A84762">
        <w:rPr>
          <w:rFonts w:ascii="Arial" w:eastAsia="Calibri" w:hAnsi="Arial" w:cs="Arial"/>
          <w:b/>
          <w:spacing w:val="-1"/>
          <w:sz w:val="17"/>
          <w:szCs w:val="17"/>
        </w:rPr>
        <w:t>Bienes Inmuebles, Infraestruct</w:t>
      </w:r>
      <w:r>
        <w:rPr>
          <w:rFonts w:ascii="Arial" w:eastAsia="Calibri" w:hAnsi="Arial" w:cs="Arial"/>
          <w:b/>
          <w:spacing w:val="-1"/>
          <w:sz w:val="17"/>
          <w:szCs w:val="17"/>
        </w:rPr>
        <w:t>ura y Construcciones en Proceso</w:t>
      </w:r>
    </w:p>
    <w:p w:rsidR="00021A85" w:rsidRDefault="00021A85" w:rsidP="00E856ED">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S</w:t>
      </w:r>
      <w:r w:rsidRPr="00785016">
        <w:rPr>
          <w:rFonts w:ascii="Arial" w:eastAsia="Calibri" w:hAnsi="Arial" w:cs="Arial"/>
          <w:spacing w:val="-1"/>
          <w:sz w:val="17"/>
          <w:szCs w:val="17"/>
        </w:rPr>
        <w:t xml:space="preserve">e informa la integración </w:t>
      </w:r>
      <w:r>
        <w:rPr>
          <w:rFonts w:ascii="Arial" w:eastAsia="Calibri" w:hAnsi="Arial" w:cs="Arial"/>
          <w:spacing w:val="-1"/>
          <w:sz w:val="17"/>
          <w:szCs w:val="17"/>
        </w:rPr>
        <w:t xml:space="preserve">del </w:t>
      </w:r>
      <w:r w:rsidRPr="00021A85">
        <w:rPr>
          <w:rFonts w:ascii="Arial" w:eastAsia="Calibri" w:hAnsi="Arial" w:cs="Arial"/>
          <w:spacing w:val="-1"/>
          <w:sz w:val="17"/>
          <w:szCs w:val="17"/>
        </w:rPr>
        <w:t xml:space="preserve">saldo al 31 de diciembre del </w:t>
      </w:r>
      <w:r w:rsidR="009831D5">
        <w:rPr>
          <w:rFonts w:ascii="Arial" w:eastAsia="Calibri" w:hAnsi="Arial" w:cs="Arial"/>
          <w:spacing w:val="-1"/>
          <w:sz w:val="17"/>
          <w:szCs w:val="17"/>
        </w:rPr>
        <w:t>2019</w:t>
      </w:r>
      <w:r w:rsidRPr="00021A85">
        <w:rPr>
          <w:rFonts w:ascii="Arial" w:eastAsia="Calibri" w:hAnsi="Arial" w:cs="Arial"/>
          <w:spacing w:val="-1"/>
          <w:sz w:val="17"/>
          <w:szCs w:val="17"/>
        </w:rPr>
        <w:t xml:space="preserve"> de la cuenta </w:t>
      </w:r>
      <w:r w:rsidR="00A84762" w:rsidRPr="00A84762">
        <w:rPr>
          <w:rFonts w:ascii="Arial" w:eastAsia="Calibri" w:hAnsi="Arial" w:cs="Arial"/>
          <w:spacing w:val="-1"/>
          <w:sz w:val="17"/>
          <w:szCs w:val="17"/>
        </w:rPr>
        <w:t>Bienes Inmuebles, Infraestructura y Construcciones en Proceso</w:t>
      </w:r>
      <w:r w:rsidR="00A84762" w:rsidRPr="00A84762">
        <w:rPr>
          <w:rFonts w:ascii="Arial" w:eastAsia="Calibri" w:hAnsi="Arial" w:cs="Arial"/>
          <w:spacing w:val="-1"/>
          <w:sz w:val="17"/>
          <w:szCs w:val="17"/>
        </w:rPr>
        <w:tab/>
      </w:r>
    </w:p>
    <w:p w:rsidR="00021A85" w:rsidRPr="00785016" w:rsidRDefault="00021A85" w:rsidP="00021A8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6"/>
        <w:gridCol w:w="2182"/>
        <w:gridCol w:w="2182"/>
      </w:tblGrid>
      <w:tr w:rsidR="00021A85" w:rsidRPr="002D70DA" w:rsidTr="00226BB0">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21A85" w:rsidRPr="002D70DA" w:rsidRDefault="00021A85" w:rsidP="007B37D9">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2019</w:t>
            </w:r>
          </w:p>
        </w:tc>
        <w:tc>
          <w:tcPr>
            <w:tcW w:w="218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21A85" w:rsidRPr="002D70DA" w:rsidRDefault="009831D5" w:rsidP="007B37D9">
            <w:pPr>
              <w:jc w:val="center"/>
              <w:rPr>
                <w:rFonts w:ascii="Arial" w:hAnsi="Arial" w:cs="Arial"/>
                <w:b/>
                <w:bCs/>
                <w:color w:val="000000"/>
                <w:sz w:val="17"/>
                <w:szCs w:val="17"/>
              </w:rPr>
            </w:pPr>
            <w:r>
              <w:rPr>
                <w:rFonts w:ascii="Arial" w:hAnsi="Arial" w:cs="Arial"/>
                <w:b/>
                <w:bCs/>
                <w:color w:val="000000"/>
                <w:sz w:val="17"/>
                <w:szCs w:val="17"/>
              </w:rPr>
              <w:t>2018</w:t>
            </w:r>
          </w:p>
        </w:tc>
      </w:tr>
      <w:tr w:rsidR="00226BB0" w:rsidRPr="002D70DA" w:rsidTr="00226BB0">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226BB0" w:rsidRPr="00186E15" w:rsidRDefault="00226BB0" w:rsidP="00226BB0">
            <w:pPr>
              <w:rPr>
                <w:rFonts w:ascii="Arial" w:hAnsi="Arial" w:cs="Arial"/>
                <w:sz w:val="17"/>
                <w:szCs w:val="17"/>
              </w:rPr>
            </w:pPr>
            <w:r w:rsidRPr="00186E15">
              <w:rPr>
                <w:rFonts w:ascii="Arial" w:hAnsi="Arial" w:cs="Arial"/>
                <w:sz w:val="17"/>
                <w:szCs w:val="17"/>
              </w:rPr>
              <w:t>Terrenos</w:t>
            </w:r>
          </w:p>
        </w:tc>
        <w:tc>
          <w:tcPr>
            <w:tcW w:w="2182" w:type="dxa"/>
            <w:tcBorders>
              <w:top w:val="single" w:sz="4" w:space="0" w:color="auto"/>
              <w:left w:val="nil"/>
              <w:bottom w:val="single" w:sz="4" w:space="0" w:color="auto"/>
              <w:right w:val="single" w:sz="4" w:space="0" w:color="auto"/>
            </w:tcBorders>
            <w:shd w:val="clear" w:color="auto" w:fill="auto"/>
          </w:tcPr>
          <w:p w:rsidR="00226BB0" w:rsidRPr="00226BB0" w:rsidRDefault="00226BB0" w:rsidP="00226BB0">
            <w:pPr>
              <w:jc w:val="right"/>
              <w:rPr>
                <w:rFonts w:ascii="Arial" w:hAnsi="Arial" w:cs="Arial"/>
                <w:sz w:val="17"/>
                <w:szCs w:val="17"/>
              </w:rPr>
            </w:pPr>
            <w:r w:rsidRPr="00226BB0">
              <w:rPr>
                <w:rFonts w:ascii="Arial" w:hAnsi="Arial" w:cs="Arial"/>
                <w:sz w:val="17"/>
                <w:szCs w:val="17"/>
              </w:rPr>
              <w:t xml:space="preserve"> 31,836,144 </w:t>
            </w:r>
          </w:p>
        </w:tc>
        <w:tc>
          <w:tcPr>
            <w:tcW w:w="2182" w:type="dxa"/>
            <w:tcBorders>
              <w:top w:val="single" w:sz="4" w:space="0" w:color="auto"/>
              <w:left w:val="nil"/>
              <w:bottom w:val="single" w:sz="4" w:space="0" w:color="auto"/>
              <w:right w:val="single" w:sz="4" w:space="0" w:color="auto"/>
            </w:tcBorders>
            <w:shd w:val="clear" w:color="auto" w:fill="auto"/>
          </w:tcPr>
          <w:p w:rsidR="00226BB0" w:rsidRPr="00226BB0" w:rsidRDefault="00226BB0" w:rsidP="00226BB0">
            <w:pPr>
              <w:jc w:val="right"/>
              <w:rPr>
                <w:rFonts w:ascii="Arial" w:hAnsi="Arial" w:cs="Arial"/>
                <w:sz w:val="17"/>
                <w:szCs w:val="17"/>
              </w:rPr>
            </w:pPr>
            <w:r w:rsidRPr="00226BB0">
              <w:rPr>
                <w:rFonts w:ascii="Arial" w:hAnsi="Arial" w:cs="Arial"/>
                <w:sz w:val="17"/>
                <w:szCs w:val="17"/>
              </w:rPr>
              <w:t xml:space="preserve"> 17,123,910 </w:t>
            </w:r>
          </w:p>
        </w:tc>
      </w:tr>
      <w:tr w:rsidR="00226BB0" w:rsidRPr="002D70DA" w:rsidTr="00226BB0">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226BB0" w:rsidRPr="00186E15" w:rsidRDefault="00226BB0" w:rsidP="00226BB0">
            <w:pPr>
              <w:rPr>
                <w:rFonts w:ascii="Arial" w:hAnsi="Arial" w:cs="Arial"/>
                <w:sz w:val="17"/>
                <w:szCs w:val="17"/>
              </w:rPr>
            </w:pPr>
            <w:r w:rsidRPr="00186E15">
              <w:rPr>
                <w:rFonts w:ascii="Arial" w:hAnsi="Arial" w:cs="Arial"/>
                <w:sz w:val="17"/>
                <w:szCs w:val="17"/>
              </w:rPr>
              <w:t>Edificios no Habitacionales</w:t>
            </w:r>
          </w:p>
        </w:tc>
        <w:tc>
          <w:tcPr>
            <w:tcW w:w="2182" w:type="dxa"/>
            <w:tcBorders>
              <w:top w:val="single" w:sz="4" w:space="0" w:color="auto"/>
              <w:left w:val="nil"/>
              <w:bottom w:val="single" w:sz="4" w:space="0" w:color="auto"/>
              <w:right w:val="single" w:sz="4" w:space="0" w:color="auto"/>
            </w:tcBorders>
            <w:shd w:val="clear" w:color="auto" w:fill="auto"/>
          </w:tcPr>
          <w:p w:rsidR="00226BB0" w:rsidRPr="00226BB0" w:rsidRDefault="00226BB0" w:rsidP="00226BB0">
            <w:pPr>
              <w:jc w:val="right"/>
              <w:rPr>
                <w:rFonts w:ascii="Arial" w:hAnsi="Arial" w:cs="Arial"/>
                <w:sz w:val="17"/>
                <w:szCs w:val="17"/>
              </w:rPr>
            </w:pPr>
            <w:r w:rsidRPr="00226BB0">
              <w:rPr>
                <w:rFonts w:ascii="Arial" w:hAnsi="Arial" w:cs="Arial"/>
                <w:sz w:val="17"/>
                <w:szCs w:val="17"/>
              </w:rPr>
              <w:t xml:space="preserve"> 1,523,543 </w:t>
            </w:r>
          </w:p>
        </w:tc>
        <w:tc>
          <w:tcPr>
            <w:tcW w:w="2182" w:type="dxa"/>
            <w:tcBorders>
              <w:top w:val="single" w:sz="4" w:space="0" w:color="auto"/>
              <w:left w:val="nil"/>
              <w:bottom w:val="single" w:sz="4" w:space="0" w:color="auto"/>
              <w:right w:val="single" w:sz="4" w:space="0" w:color="auto"/>
            </w:tcBorders>
            <w:shd w:val="clear" w:color="auto" w:fill="auto"/>
          </w:tcPr>
          <w:p w:rsidR="00226BB0" w:rsidRPr="00226BB0" w:rsidRDefault="00226BB0" w:rsidP="00226BB0">
            <w:pPr>
              <w:jc w:val="right"/>
              <w:rPr>
                <w:rFonts w:ascii="Arial" w:hAnsi="Arial" w:cs="Arial"/>
                <w:sz w:val="17"/>
                <w:szCs w:val="17"/>
              </w:rPr>
            </w:pPr>
            <w:r w:rsidRPr="00226BB0">
              <w:rPr>
                <w:rFonts w:ascii="Arial" w:hAnsi="Arial" w:cs="Arial"/>
                <w:sz w:val="17"/>
                <w:szCs w:val="17"/>
              </w:rPr>
              <w:t xml:space="preserve"> 5,427,202 </w:t>
            </w:r>
          </w:p>
        </w:tc>
      </w:tr>
      <w:tr w:rsidR="00226BB0" w:rsidRPr="002D70DA" w:rsidTr="00226BB0">
        <w:trPr>
          <w:trHeight w:val="240"/>
          <w:jc w:val="center"/>
        </w:trPr>
        <w:tc>
          <w:tcPr>
            <w:tcW w:w="4906" w:type="dxa"/>
            <w:tcBorders>
              <w:top w:val="single" w:sz="4" w:space="0" w:color="auto"/>
              <w:left w:val="single" w:sz="4" w:space="0" w:color="auto"/>
              <w:bottom w:val="single" w:sz="4" w:space="0" w:color="auto"/>
              <w:right w:val="single" w:sz="4" w:space="0" w:color="auto"/>
            </w:tcBorders>
            <w:shd w:val="clear" w:color="auto" w:fill="auto"/>
          </w:tcPr>
          <w:p w:rsidR="00226BB0" w:rsidRPr="00186E15" w:rsidRDefault="00226BB0" w:rsidP="00226BB0">
            <w:pPr>
              <w:rPr>
                <w:rFonts w:ascii="Arial" w:hAnsi="Arial" w:cs="Arial"/>
                <w:sz w:val="17"/>
                <w:szCs w:val="17"/>
              </w:rPr>
            </w:pPr>
            <w:r w:rsidRPr="00186E15">
              <w:rPr>
                <w:rFonts w:ascii="Arial" w:hAnsi="Arial" w:cs="Arial"/>
                <w:sz w:val="17"/>
                <w:szCs w:val="17"/>
              </w:rPr>
              <w:t>Construcciones en Proceso en Bienes Propios</w:t>
            </w:r>
          </w:p>
        </w:tc>
        <w:tc>
          <w:tcPr>
            <w:tcW w:w="2182" w:type="dxa"/>
            <w:tcBorders>
              <w:top w:val="single" w:sz="4" w:space="0" w:color="auto"/>
              <w:left w:val="nil"/>
              <w:bottom w:val="single" w:sz="4" w:space="0" w:color="auto"/>
              <w:right w:val="single" w:sz="4" w:space="0" w:color="auto"/>
            </w:tcBorders>
            <w:shd w:val="clear" w:color="auto" w:fill="auto"/>
          </w:tcPr>
          <w:p w:rsidR="00226BB0" w:rsidRPr="00226BB0" w:rsidRDefault="00226BB0" w:rsidP="00226BB0">
            <w:pPr>
              <w:jc w:val="right"/>
              <w:rPr>
                <w:rFonts w:ascii="Arial" w:hAnsi="Arial" w:cs="Arial"/>
                <w:sz w:val="17"/>
                <w:szCs w:val="17"/>
              </w:rPr>
            </w:pPr>
            <w:r w:rsidRPr="00226BB0">
              <w:rPr>
                <w:rFonts w:ascii="Arial" w:hAnsi="Arial" w:cs="Arial"/>
                <w:sz w:val="17"/>
                <w:szCs w:val="17"/>
              </w:rPr>
              <w:t xml:space="preserve"> 8,902,075 </w:t>
            </w:r>
          </w:p>
        </w:tc>
        <w:tc>
          <w:tcPr>
            <w:tcW w:w="2182" w:type="dxa"/>
            <w:tcBorders>
              <w:top w:val="single" w:sz="4" w:space="0" w:color="auto"/>
              <w:left w:val="nil"/>
              <w:bottom w:val="single" w:sz="4" w:space="0" w:color="auto"/>
              <w:right w:val="single" w:sz="4" w:space="0" w:color="auto"/>
            </w:tcBorders>
            <w:shd w:val="clear" w:color="auto" w:fill="auto"/>
          </w:tcPr>
          <w:p w:rsidR="00226BB0" w:rsidRPr="00226BB0" w:rsidRDefault="00226BB0" w:rsidP="00226BB0">
            <w:pPr>
              <w:jc w:val="right"/>
              <w:rPr>
                <w:rFonts w:ascii="Arial" w:hAnsi="Arial" w:cs="Arial"/>
                <w:sz w:val="17"/>
                <w:szCs w:val="17"/>
              </w:rPr>
            </w:pPr>
            <w:r w:rsidRPr="00226BB0">
              <w:rPr>
                <w:rFonts w:ascii="Arial" w:hAnsi="Arial" w:cs="Arial"/>
                <w:sz w:val="17"/>
                <w:szCs w:val="17"/>
              </w:rPr>
              <w:t xml:space="preserve"> -   </w:t>
            </w:r>
          </w:p>
        </w:tc>
      </w:tr>
      <w:tr w:rsidR="00226BB0" w:rsidRPr="002D70DA" w:rsidTr="00226BB0">
        <w:trPr>
          <w:trHeight w:val="240"/>
          <w:jc w:val="center"/>
        </w:trPr>
        <w:tc>
          <w:tcPr>
            <w:tcW w:w="4906" w:type="dxa"/>
            <w:tcBorders>
              <w:top w:val="nil"/>
              <w:left w:val="nil"/>
              <w:bottom w:val="nil"/>
              <w:right w:val="single" w:sz="4" w:space="0" w:color="auto"/>
            </w:tcBorders>
            <w:shd w:val="clear" w:color="000000" w:fill="FFFFFF"/>
            <w:vAlign w:val="center"/>
            <w:hideMark/>
          </w:tcPr>
          <w:p w:rsidR="00226BB0" w:rsidRPr="002D70DA" w:rsidRDefault="00226BB0" w:rsidP="00226BB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2" w:type="dxa"/>
            <w:tcBorders>
              <w:top w:val="single" w:sz="4" w:space="0" w:color="auto"/>
              <w:left w:val="single" w:sz="4" w:space="0" w:color="auto"/>
              <w:bottom w:val="single" w:sz="4" w:space="0" w:color="auto"/>
              <w:right w:val="nil"/>
            </w:tcBorders>
            <w:shd w:val="clear" w:color="000000" w:fill="FFFFFF"/>
          </w:tcPr>
          <w:p w:rsidR="00226BB0" w:rsidRPr="00226BB0" w:rsidRDefault="00226BB0" w:rsidP="00226BB0">
            <w:pPr>
              <w:jc w:val="right"/>
              <w:rPr>
                <w:rFonts w:ascii="Arial" w:hAnsi="Arial" w:cs="Arial"/>
                <w:b/>
                <w:sz w:val="17"/>
                <w:szCs w:val="17"/>
              </w:rPr>
            </w:pPr>
            <w:r w:rsidRPr="00226BB0">
              <w:rPr>
                <w:rFonts w:ascii="Arial" w:hAnsi="Arial" w:cs="Arial"/>
                <w:b/>
                <w:sz w:val="17"/>
                <w:szCs w:val="17"/>
              </w:rPr>
              <w:t xml:space="preserve"> 42,261,761 </w:t>
            </w:r>
          </w:p>
        </w:tc>
        <w:tc>
          <w:tcPr>
            <w:tcW w:w="2182" w:type="dxa"/>
            <w:tcBorders>
              <w:top w:val="nil"/>
              <w:left w:val="single" w:sz="4" w:space="0" w:color="auto"/>
              <w:bottom w:val="single" w:sz="4" w:space="0" w:color="auto"/>
              <w:right w:val="single" w:sz="4" w:space="0" w:color="auto"/>
            </w:tcBorders>
            <w:shd w:val="clear" w:color="000000" w:fill="FFFFFF"/>
          </w:tcPr>
          <w:p w:rsidR="00226BB0" w:rsidRPr="00226BB0" w:rsidRDefault="00226BB0" w:rsidP="00226BB0">
            <w:pPr>
              <w:jc w:val="right"/>
              <w:rPr>
                <w:rFonts w:ascii="Arial" w:hAnsi="Arial" w:cs="Arial"/>
                <w:b/>
                <w:sz w:val="17"/>
                <w:szCs w:val="17"/>
              </w:rPr>
            </w:pPr>
            <w:r w:rsidRPr="00226BB0">
              <w:rPr>
                <w:rFonts w:ascii="Arial" w:hAnsi="Arial" w:cs="Arial"/>
                <w:b/>
                <w:sz w:val="17"/>
                <w:szCs w:val="17"/>
              </w:rPr>
              <w:t xml:space="preserve"> 22,551,112 </w:t>
            </w:r>
          </w:p>
        </w:tc>
      </w:tr>
    </w:tbl>
    <w:p w:rsidR="00D33F92" w:rsidRDefault="00D33F92" w:rsidP="006E15EE">
      <w:pPr>
        <w:autoSpaceDE w:val="0"/>
        <w:autoSpaceDN w:val="0"/>
        <w:adjustRightInd w:val="0"/>
        <w:spacing w:before="240" w:after="120"/>
        <w:ind w:left="709"/>
        <w:rPr>
          <w:rFonts w:ascii="Arial" w:eastAsia="Calibri" w:hAnsi="Arial" w:cs="Arial"/>
          <w:spacing w:val="-1"/>
          <w:sz w:val="17"/>
          <w:szCs w:val="17"/>
        </w:rPr>
      </w:pPr>
    </w:p>
    <w:p w:rsidR="00660984" w:rsidRDefault="00D33F92" w:rsidP="006E15EE">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 xml:space="preserve">El incremento en el rubro de Terrenos </w:t>
      </w:r>
      <w:r w:rsidR="00226BB0">
        <w:rPr>
          <w:rFonts w:ascii="Arial" w:eastAsia="Calibri" w:hAnsi="Arial" w:cs="Arial"/>
          <w:spacing w:val="-1"/>
          <w:sz w:val="17"/>
          <w:szCs w:val="17"/>
        </w:rPr>
        <w:t>corresponde</w:t>
      </w:r>
      <w:r w:rsidRPr="00D33F92">
        <w:rPr>
          <w:rFonts w:ascii="Arial" w:eastAsia="Calibri" w:hAnsi="Arial" w:cs="Arial"/>
          <w:spacing w:val="-1"/>
          <w:sz w:val="17"/>
          <w:szCs w:val="17"/>
        </w:rPr>
        <w:t xml:space="preserve"> principalmente a</w:t>
      </w:r>
      <w:r w:rsidR="00226BB0">
        <w:rPr>
          <w:rFonts w:ascii="Arial" w:eastAsia="Calibri" w:hAnsi="Arial" w:cs="Arial"/>
          <w:spacing w:val="-1"/>
          <w:sz w:val="17"/>
          <w:szCs w:val="17"/>
        </w:rPr>
        <w:t xml:space="preserve"> la </w:t>
      </w:r>
      <w:r w:rsidR="00226BB0" w:rsidRPr="00226BB0">
        <w:rPr>
          <w:rFonts w:ascii="Arial" w:eastAsia="Calibri" w:hAnsi="Arial" w:cs="Arial"/>
          <w:spacing w:val="-1"/>
          <w:sz w:val="17"/>
          <w:szCs w:val="17"/>
        </w:rPr>
        <w:t>Fiscalía General del Estado</w:t>
      </w:r>
      <w:r w:rsidRPr="00D33F92">
        <w:rPr>
          <w:rFonts w:ascii="Arial" w:eastAsia="Calibri" w:hAnsi="Arial" w:cs="Arial"/>
          <w:spacing w:val="-1"/>
          <w:sz w:val="17"/>
          <w:szCs w:val="17"/>
        </w:rPr>
        <w:t>.</w:t>
      </w:r>
    </w:p>
    <w:p w:rsidR="00E13DFB" w:rsidRDefault="00E13DFB">
      <w:pPr>
        <w:rPr>
          <w:rFonts w:ascii="Arial" w:eastAsia="Calibri" w:hAnsi="Arial" w:cs="Arial"/>
          <w:spacing w:val="-1"/>
          <w:sz w:val="17"/>
          <w:szCs w:val="17"/>
        </w:rPr>
      </w:pPr>
    </w:p>
    <w:p w:rsidR="00186E15" w:rsidRDefault="00186E15">
      <w:pPr>
        <w:rPr>
          <w:rFonts w:ascii="Arial" w:eastAsia="Calibri" w:hAnsi="Arial" w:cs="Arial"/>
          <w:spacing w:val="-1"/>
          <w:sz w:val="17"/>
          <w:szCs w:val="17"/>
        </w:rPr>
      </w:pPr>
    </w:p>
    <w:p w:rsidR="006E15EE" w:rsidRDefault="006E15EE" w:rsidP="006E15E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15EE" w:rsidRPr="002D70DA" w:rsidRDefault="006E15EE" w:rsidP="006E15E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93393" w:rsidRPr="002D70DA" w:rsidTr="00226B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93393" w:rsidRPr="002D70DA" w:rsidRDefault="0049339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9339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186E15" w:rsidRPr="002D70DA" w:rsidTr="00226B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Comisión de Transparencia y Acceso a la</w:t>
            </w:r>
          </w:p>
          <w:p w:rsidR="00186E15" w:rsidRPr="00560A6D" w:rsidRDefault="00186E15" w:rsidP="00186E15">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937,422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900,419 </w:t>
            </w:r>
          </w:p>
        </w:tc>
      </w:tr>
      <w:tr w:rsidR="00186E15" w:rsidRPr="002D70DA" w:rsidTr="00226B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15,841,196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6,939,121 </w:t>
            </w:r>
          </w:p>
        </w:tc>
      </w:tr>
      <w:tr w:rsidR="00186E15" w:rsidRPr="002D70DA" w:rsidTr="00226B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560A6D" w:rsidRDefault="00186E15" w:rsidP="00186E15">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24,542,820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13,771,249 </w:t>
            </w:r>
          </w:p>
        </w:tc>
      </w:tr>
      <w:tr w:rsidR="00186E15" w:rsidRPr="002D70DA" w:rsidTr="00226BB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940,324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940,324 </w:t>
            </w:r>
          </w:p>
        </w:tc>
      </w:tr>
      <w:tr w:rsidR="00226BB0" w:rsidRPr="002D70DA" w:rsidTr="00226BB0">
        <w:trPr>
          <w:trHeight w:val="240"/>
          <w:jc w:val="center"/>
        </w:trPr>
        <w:tc>
          <w:tcPr>
            <w:tcW w:w="4900" w:type="dxa"/>
            <w:tcBorders>
              <w:top w:val="nil"/>
              <w:left w:val="nil"/>
              <w:bottom w:val="nil"/>
              <w:right w:val="single" w:sz="4" w:space="0" w:color="auto"/>
            </w:tcBorders>
            <w:shd w:val="clear" w:color="000000" w:fill="FFFFFF"/>
            <w:vAlign w:val="center"/>
            <w:hideMark/>
          </w:tcPr>
          <w:p w:rsidR="00226BB0" w:rsidRPr="002D70DA" w:rsidRDefault="00226BB0" w:rsidP="00226BB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26BB0" w:rsidRPr="00226BB0" w:rsidRDefault="00226BB0" w:rsidP="00226BB0">
            <w:pPr>
              <w:jc w:val="right"/>
              <w:rPr>
                <w:rFonts w:ascii="Arial" w:hAnsi="Arial" w:cs="Arial"/>
                <w:b/>
                <w:sz w:val="17"/>
                <w:szCs w:val="17"/>
              </w:rPr>
            </w:pPr>
            <w:r w:rsidRPr="00226BB0">
              <w:rPr>
                <w:rFonts w:ascii="Arial" w:hAnsi="Arial" w:cs="Arial"/>
                <w:b/>
                <w:sz w:val="17"/>
                <w:szCs w:val="17"/>
              </w:rPr>
              <w:t xml:space="preserve">42,261,761 </w:t>
            </w:r>
          </w:p>
        </w:tc>
        <w:tc>
          <w:tcPr>
            <w:tcW w:w="2180" w:type="dxa"/>
            <w:tcBorders>
              <w:top w:val="nil"/>
              <w:left w:val="single" w:sz="4" w:space="0" w:color="auto"/>
              <w:bottom w:val="single" w:sz="4" w:space="0" w:color="auto"/>
              <w:right w:val="single" w:sz="4" w:space="0" w:color="auto"/>
            </w:tcBorders>
            <w:shd w:val="clear" w:color="000000" w:fill="FFFFFF"/>
          </w:tcPr>
          <w:p w:rsidR="00226BB0" w:rsidRPr="00226BB0" w:rsidRDefault="00226BB0" w:rsidP="00226BB0">
            <w:pPr>
              <w:jc w:val="right"/>
              <w:rPr>
                <w:rFonts w:ascii="Arial" w:hAnsi="Arial" w:cs="Arial"/>
                <w:b/>
                <w:sz w:val="17"/>
                <w:szCs w:val="17"/>
              </w:rPr>
            </w:pPr>
            <w:r w:rsidRPr="00226BB0">
              <w:rPr>
                <w:rFonts w:ascii="Arial" w:hAnsi="Arial" w:cs="Arial"/>
                <w:b/>
                <w:sz w:val="17"/>
                <w:szCs w:val="17"/>
              </w:rPr>
              <w:t xml:space="preserve">22,551,112 </w:t>
            </w:r>
          </w:p>
        </w:tc>
      </w:tr>
    </w:tbl>
    <w:p w:rsidR="00AC18F1" w:rsidRDefault="00AC18F1" w:rsidP="00E856ED">
      <w:pPr>
        <w:spacing w:before="80" w:line="250" w:lineRule="exact"/>
        <w:ind w:left="709"/>
        <w:jc w:val="both"/>
        <w:rPr>
          <w:rFonts w:ascii="Arial" w:eastAsia="Calibri" w:hAnsi="Arial" w:cs="Arial"/>
          <w:spacing w:val="-1"/>
          <w:sz w:val="17"/>
          <w:szCs w:val="17"/>
        </w:rPr>
      </w:pPr>
    </w:p>
    <w:p w:rsidR="006335BE" w:rsidRPr="00B8192E" w:rsidRDefault="006335BE" w:rsidP="00795E45">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B8192E">
        <w:rPr>
          <w:rFonts w:ascii="Arial" w:eastAsia="Calibri" w:hAnsi="Arial" w:cs="Arial"/>
          <w:b/>
          <w:spacing w:val="-1"/>
          <w:sz w:val="17"/>
          <w:szCs w:val="17"/>
        </w:rPr>
        <w:lastRenderedPageBreak/>
        <w:t xml:space="preserve">Bienes </w:t>
      </w:r>
      <w:r w:rsidR="008E1BD8" w:rsidRPr="00B8192E">
        <w:rPr>
          <w:rFonts w:ascii="Arial" w:eastAsia="Calibri" w:hAnsi="Arial" w:cs="Arial"/>
          <w:b/>
          <w:spacing w:val="-1"/>
          <w:sz w:val="17"/>
          <w:szCs w:val="17"/>
        </w:rPr>
        <w:t>m</w:t>
      </w:r>
      <w:r w:rsidR="00901A13" w:rsidRPr="00B8192E">
        <w:rPr>
          <w:rFonts w:ascii="Arial" w:eastAsia="Calibri" w:hAnsi="Arial" w:cs="Arial"/>
          <w:b/>
          <w:spacing w:val="-1"/>
          <w:sz w:val="17"/>
          <w:szCs w:val="17"/>
        </w:rPr>
        <w:t>uebles</w:t>
      </w:r>
    </w:p>
    <w:p w:rsidR="007F7800" w:rsidRDefault="007F7800" w:rsidP="00E856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sidR="002864C0">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Bienes Muebles, al 31 de diciembre del </w:t>
      </w:r>
      <w:r w:rsidR="009831D5">
        <w:rPr>
          <w:rFonts w:ascii="Arial" w:eastAsia="Calibri" w:hAnsi="Arial" w:cs="Arial"/>
          <w:spacing w:val="-1"/>
          <w:sz w:val="17"/>
          <w:szCs w:val="17"/>
        </w:rPr>
        <w:t>2019</w:t>
      </w:r>
      <w:r w:rsidR="00766637">
        <w:rPr>
          <w:rFonts w:ascii="Arial" w:eastAsia="Calibri" w:hAnsi="Arial" w:cs="Arial"/>
          <w:spacing w:val="-1"/>
          <w:sz w:val="17"/>
          <w:szCs w:val="17"/>
        </w:rPr>
        <w:t>:</w:t>
      </w:r>
    </w:p>
    <w:p w:rsidR="002366A1" w:rsidRPr="00785016" w:rsidRDefault="002366A1" w:rsidP="002366A1">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65" w:type="dxa"/>
        <w:jc w:val="center"/>
        <w:tblCellMar>
          <w:left w:w="70" w:type="dxa"/>
          <w:right w:w="70" w:type="dxa"/>
        </w:tblCellMar>
        <w:tblLook w:val="04A0" w:firstRow="1" w:lastRow="0" w:firstColumn="1" w:lastColumn="0" w:noHBand="0" w:noVBand="1"/>
        <w:tblDescription w:val="monto"/>
      </w:tblPr>
      <w:tblGrid>
        <w:gridCol w:w="4903"/>
        <w:gridCol w:w="2181"/>
        <w:gridCol w:w="2181"/>
      </w:tblGrid>
      <w:tr w:rsidR="002366A1" w:rsidRPr="002D70DA" w:rsidTr="00287B0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366A1" w:rsidRPr="002D70DA" w:rsidRDefault="002366A1"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366A1"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287B02" w:rsidRPr="002D70DA" w:rsidTr="00287B0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87B02" w:rsidRPr="00186E15" w:rsidRDefault="00287B02" w:rsidP="00287B02">
            <w:pPr>
              <w:rPr>
                <w:rFonts w:ascii="Arial" w:hAnsi="Arial" w:cs="Arial"/>
                <w:sz w:val="17"/>
                <w:szCs w:val="17"/>
              </w:rPr>
            </w:pPr>
            <w:r w:rsidRPr="00186E15">
              <w:rPr>
                <w:rFonts w:ascii="Arial" w:hAnsi="Arial" w:cs="Arial"/>
                <w:sz w:val="17"/>
                <w:szCs w:val="17"/>
              </w:rPr>
              <w:t>Mobiliario y Equipo de Administración</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474,878,549 </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455,096,666 </w:t>
            </w:r>
          </w:p>
        </w:tc>
      </w:tr>
      <w:tr w:rsidR="00287B02" w:rsidRPr="002D70DA" w:rsidTr="00287B0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87B02" w:rsidRPr="00186E15" w:rsidRDefault="00287B02" w:rsidP="00287B02">
            <w:pPr>
              <w:rPr>
                <w:rFonts w:ascii="Arial" w:hAnsi="Arial" w:cs="Arial"/>
                <w:sz w:val="17"/>
                <w:szCs w:val="17"/>
              </w:rPr>
            </w:pPr>
            <w:r w:rsidRPr="00186E15">
              <w:rPr>
                <w:rFonts w:ascii="Arial" w:hAnsi="Arial" w:cs="Arial"/>
                <w:sz w:val="17"/>
                <w:szCs w:val="17"/>
              </w:rPr>
              <w:t>Mobiliario y Equipo Educacional y Recreativo</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2,155,618 </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1,055,785 </w:t>
            </w:r>
          </w:p>
        </w:tc>
      </w:tr>
      <w:tr w:rsidR="00287B02" w:rsidRPr="002D70DA" w:rsidTr="00287B0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87B02" w:rsidRPr="00186E15" w:rsidRDefault="00287B02" w:rsidP="00287B02">
            <w:pPr>
              <w:rPr>
                <w:rFonts w:ascii="Arial" w:hAnsi="Arial" w:cs="Arial"/>
                <w:sz w:val="17"/>
                <w:szCs w:val="17"/>
              </w:rPr>
            </w:pPr>
            <w:r w:rsidRPr="00186E15">
              <w:rPr>
                <w:rFonts w:ascii="Arial" w:hAnsi="Arial" w:cs="Arial"/>
                <w:sz w:val="17"/>
                <w:szCs w:val="17"/>
              </w:rPr>
              <w:t>Equipo e Instrumental Médico y de Laboratorio</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26,048,327 </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10,788,658 </w:t>
            </w:r>
          </w:p>
        </w:tc>
      </w:tr>
      <w:tr w:rsidR="00287B02" w:rsidRPr="002D70DA" w:rsidTr="00287B0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87B02" w:rsidRPr="00186E15" w:rsidRDefault="00287B02" w:rsidP="00287B02">
            <w:pPr>
              <w:rPr>
                <w:rFonts w:ascii="Arial" w:hAnsi="Arial" w:cs="Arial"/>
                <w:sz w:val="17"/>
                <w:szCs w:val="17"/>
              </w:rPr>
            </w:pPr>
            <w:r w:rsidRPr="00186E15">
              <w:rPr>
                <w:rFonts w:ascii="Arial" w:hAnsi="Arial" w:cs="Arial"/>
                <w:sz w:val="17"/>
                <w:szCs w:val="17"/>
              </w:rPr>
              <w:t>Vehículos y Equipo de Transporte</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17,893,229 </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16,627,827 </w:t>
            </w:r>
          </w:p>
        </w:tc>
      </w:tr>
      <w:tr w:rsidR="00287B02" w:rsidRPr="002D70DA" w:rsidTr="00287B0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87B02" w:rsidRPr="00186E15" w:rsidRDefault="00287B02" w:rsidP="00287B02">
            <w:pPr>
              <w:rPr>
                <w:rFonts w:ascii="Arial" w:hAnsi="Arial" w:cs="Arial"/>
                <w:sz w:val="17"/>
                <w:szCs w:val="17"/>
              </w:rPr>
            </w:pPr>
            <w:r w:rsidRPr="00186E15">
              <w:rPr>
                <w:rFonts w:ascii="Arial" w:hAnsi="Arial" w:cs="Arial"/>
                <w:sz w:val="17"/>
                <w:szCs w:val="17"/>
              </w:rPr>
              <w:t>Equipo de Defensa y Seguridad</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4,015,661 </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2,282,798 </w:t>
            </w:r>
          </w:p>
        </w:tc>
      </w:tr>
      <w:tr w:rsidR="00287B02" w:rsidRPr="002D70DA" w:rsidTr="00287B0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87B02" w:rsidRPr="00186E15" w:rsidRDefault="00287B02" w:rsidP="00287B02">
            <w:pPr>
              <w:rPr>
                <w:rFonts w:ascii="Arial" w:hAnsi="Arial" w:cs="Arial"/>
                <w:sz w:val="17"/>
                <w:szCs w:val="17"/>
              </w:rPr>
            </w:pPr>
            <w:r w:rsidRPr="00186E15">
              <w:rPr>
                <w:rFonts w:ascii="Arial" w:hAnsi="Arial" w:cs="Arial"/>
                <w:sz w:val="17"/>
                <w:szCs w:val="17"/>
              </w:rPr>
              <w:t>Maquinaria, Otros Equipos y Herramientas</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1,693,642 </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1,097,315 </w:t>
            </w:r>
          </w:p>
        </w:tc>
      </w:tr>
      <w:tr w:rsidR="00287B02" w:rsidRPr="002D70DA" w:rsidTr="00287B02">
        <w:trPr>
          <w:trHeight w:val="240"/>
          <w:jc w:val="center"/>
        </w:trPr>
        <w:tc>
          <w:tcPr>
            <w:tcW w:w="4903" w:type="dxa"/>
            <w:tcBorders>
              <w:top w:val="single" w:sz="4" w:space="0" w:color="auto"/>
              <w:left w:val="single" w:sz="4" w:space="0" w:color="auto"/>
              <w:bottom w:val="single" w:sz="4" w:space="0" w:color="auto"/>
              <w:right w:val="single" w:sz="4" w:space="0" w:color="auto"/>
            </w:tcBorders>
            <w:shd w:val="clear" w:color="auto" w:fill="auto"/>
          </w:tcPr>
          <w:p w:rsidR="00287B02" w:rsidRPr="00186E15" w:rsidRDefault="00287B02" w:rsidP="00287B02">
            <w:pPr>
              <w:rPr>
                <w:rFonts w:ascii="Arial" w:hAnsi="Arial" w:cs="Arial"/>
                <w:sz w:val="17"/>
                <w:szCs w:val="17"/>
              </w:rPr>
            </w:pPr>
            <w:r w:rsidRPr="00186E15">
              <w:rPr>
                <w:rFonts w:ascii="Arial" w:hAnsi="Arial" w:cs="Arial"/>
                <w:sz w:val="17"/>
                <w:szCs w:val="17"/>
              </w:rPr>
              <w:t>Colecciones, Obras de Arte y Objetos Valiosos</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118,244 </w:t>
            </w:r>
          </w:p>
        </w:tc>
        <w:tc>
          <w:tcPr>
            <w:tcW w:w="2181" w:type="dxa"/>
            <w:tcBorders>
              <w:top w:val="single" w:sz="4" w:space="0" w:color="auto"/>
              <w:left w:val="nil"/>
              <w:bottom w:val="single" w:sz="4" w:space="0" w:color="auto"/>
              <w:right w:val="single" w:sz="4" w:space="0" w:color="auto"/>
            </w:tcBorders>
            <w:shd w:val="clear" w:color="auto" w:fill="auto"/>
          </w:tcPr>
          <w:p w:rsidR="00287B02" w:rsidRPr="00287B02" w:rsidRDefault="00287B02" w:rsidP="00287B02">
            <w:pPr>
              <w:jc w:val="right"/>
              <w:rPr>
                <w:rFonts w:ascii="Arial" w:hAnsi="Arial" w:cs="Arial"/>
                <w:sz w:val="17"/>
                <w:szCs w:val="17"/>
              </w:rPr>
            </w:pPr>
            <w:r w:rsidRPr="00287B02">
              <w:rPr>
                <w:rFonts w:ascii="Arial" w:hAnsi="Arial" w:cs="Arial"/>
                <w:sz w:val="17"/>
                <w:szCs w:val="17"/>
              </w:rPr>
              <w:t xml:space="preserve"> 13,844 </w:t>
            </w:r>
          </w:p>
        </w:tc>
      </w:tr>
      <w:tr w:rsidR="00287B02" w:rsidRPr="002D70DA" w:rsidTr="00287B02">
        <w:trPr>
          <w:trHeight w:val="240"/>
          <w:jc w:val="center"/>
        </w:trPr>
        <w:tc>
          <w:tcPr>
            <w:tcW w:w="4903" w:type="dxa"/>
            <w:tcBorders>
              <w:top w:val="nil"/>
              <w:left w:val="nil"/>
              <w:bottom w:val="nil"/>
              <w:right w:val="single" w:sz="4" w:space="0" w:color="auto"/>
            </w:tcBorders>
            <w:shd w:val="clear" w:color="000000" w:fill="FFFFFF"/>
            <w:vAlign w:val="center"/>
            <w:hideMark/>
          </w:tcPr>
          <w:p w:rsidR="00287B02" w:rsidRPr="002D70DA" w:rsidRDefault="00287B02" w:rsidP="00287B0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1" w:type="dxa"/>
            <w:tcBorders>
              <w:top w:val="single" w:sz="4" w:space="0" w:color="auto"/>
              <w:left w:val="single" w:sz="4" w:space="0" w:color="auto"/>
              <w:bottom w:val="single" w:sz="4" w:space="0" w:color="auto"/>
              <w:right w:val="nil"/>
            </w:tcBorders>
            <w:shd w:val="clear" w:color="000000" w:fill="FFFFFF"/>
          </w:tcPr>
          <w:p w:rsidR="00287B02" w:rsidRPr="00287B02" w:rsidRDefault="00287B02" w:rsidP="00287B02">
            <w:pPr>
              <w:jc w:val="right"/>
              <w:rPr>
                <w:rFonts w:ascii="Arial" w:hAnsi="Arial" w:cs="Arial"/>
                <w:b/>
                <w:sz w:val="17"/>
                <w:szCs w:val="17"/>
              </w:rPr>
            </w:pPr>
            <w:r w:rsidRPr="00287B02">
              <w:rPr>
                <w:rFonts w:ascii="Arial" w:hAnsi="Arial" w:cs="Arial"/>
                <w:b/>
                <w:sz w:val="17"/>
                <w:szCs w:val="17"/>
              </w:rPr>
              <w:t xml:space="preserve"> 526,803,270 </w:t>
            </w:r>
          </w:p>
        </w:tc>
        <w:tc>
          <w:tcPr>
            <w:tcW w:w="2181" w:type="dxa"/>
            <w:tcBorders>
              <w:top w:val="nil"/>
              <w:left w:val="single" w:sz="4" w:space="0" w:color="auto"/>
              <w:bottom w:val="single" w:sz="4" w:space="0" w:color="auto"/>
              <w:right w:val="single" w:sz="4" w:space="0" w:color="auto"/>
            </w:tcBorders>
            <w:shd w:val="clear" w:color="000000" w:fill="FFFFFF"/>
          </w:tcPr>
          <w:p w:rsidR="00287B02" w:rsidRPr="00287B02" w:rsidRDefault="00287B02" w:rsidP="00287B02">
            <w:pPr>
              <w:jc w:val="right"/>
              <w:rPr>
                <w:rFonts w:ascii="Arial" w:hAnsi="Arial" w:cs="Arial"/>
                <w:b/>
                <w:sz w:val="17"/>
                <w:szCs w:val="17"/>
              </w:rPr>
            </w:pPr>
            <w:r w:rsidRPr="00287B02">
              <w:rPr>
                <w:rFonts w:ascii="Arial" w:hAnsi="Arial" w:cs="Arial"/>
                <w:b/>
                <w:sz w:val="17"/>
                <w:szCs w:val="17"/>
              </w:rPr>
              <w:t xml:space="preserve"> 486,962,893 </w:t>
            </w:r>
          </w:p>
        </w:tc>
      </w:tr>
    </w:tbl>
    <w:p w:rsidR="001B5113" w:rsidRDefault="001B5113" w:rsidP="001B5113">
      <w:pPr>
        <w:autoSpaceDE w:val="0"/>
        <w:autoSpaceDN w:val="0"/>
        <w:adjustRightInd w:val="0"/>
        <w:spacing w:before="240" w:after="120"/>
        <w:ind w:left="709"/>
        <w:rPr>
          <w:rFonts w:ascii="Arial" w:eastAsia="Calibri" w:hAnsi="Arial" w:cs="Arial"/>
          <w:spacing w:val="-1"/>
          <w:sz w:val="17"/>
          <w:szCs w:val="17"/>
        </w:rPr>
      </w:pPr>
      <w:r w:rsidRPr="00D33F92">
        <w:rPr>
          <w:rFonts w:ascii="Arial" w:eastAsia="Calibri" w:hAnsi="Arial" w:cs="Arial"/>
          <w:spacing w:val="-1"/>
          <w:sz w:val="17"/>
          <w:szCs w:val="17"/>
        </w:rPr>
        <w:t>El incremento obedece principalmente a</w:t>
      </w:r>
      <w:r>
        <w:rPr>
          <w:rFonts w:ascii="Arial" w:eastAsia="Calibri" w:hAnsi="Arial" w:cs="Arial"/>
          <w:spacing w:val="-1"/>
          <w:sz w:val="17"/>
          <w:szCs w:val="17"/>
        </w:rPr>
        <w:t xml:space="preserve"> la incorporación de </w:t>
      </w:r>
      <w:r w:rsidR="00287B02" w:rsidRPr="00287B02">
        <w:rPr>
          <w:rFonts w:ascii="Arial" w:eastAsia="Calibri" w:hAnsi="Arial" w:cs="Arial"/>
          <w:spacing w:val="-1"/>
          <w:sz w:val="17"/>
          <w:szCs w:val="17"/>
        </w:rPr>
        <w:t>Mobiliario y Equipo de Administración</w:t>
      </w:r>
      <w:r w:rsidR="00287B02">
        <w:rPr>
          <w:rFonts w:ascii="Arial" w:eastAsia="Calibri" w:hAnsi="Arial" w:cs="Arial"/>
          <w:spacing w:val="-1"/>
          <w:sz w:val="17"/>
          <w:szCs w:val="17"/>
        </w:rPr>
        <w:t xml:space="preserve"> </w:t>
      </w:r>
      <w:r>
        <w:rPr>
          <w:rFonts w:ascii="Arial" w:eastAsia="Calibri" w:hAnsi="Arial" w:cs="Arial"/>
          <w:spacing w:val="-1"/>
          <w:sz w:val="17"/>
          <w:szCs w:val="17"/>
        </w:rPr>
        <w:t>a</w:t>
      </w:r>
      <w:r w:rsidR="00287B02">
        <w:rPr>
          <w:rFonts w:ascii="Arial" w:eastAsia="Calibri" w:hAnsi="Arial" w:cs="Arial"/>
          <w:spacing w:val="-1"/>
          <w:sz w:val="17"/>
          <w:szCs w:val="17"/>
        </w:rPr>
        <w:t xml:space="preserve"> </w:t>
      </w:r>
      <w:r>
        <w:rPr>
          <w:rFonts w:ascii="Arial" w:eastAsia="Calibri" w:hAnsi="Arial" w:cs="Arial"/>
          <w:spacing w:val="-1"/>
          <w:sz w:val="17"/>
          <w:szCs w:val="17"/>
        </w:rPr>
        <w:t>l</w:t>
      </w:r>
      <w:r w:rsidR="00287B02">
        <w:rPr>
          <w:rFonts w:ascii="Arial" w:eastAsia="Calibri" w:hAnsi="Arial" w:cs="Arial"/>
          <w:spacing w:val="-1"/>
          <w:sz w:val="17"/>
          <w:szCs w:val="17"/>
        </w:rPr>
        <w:t>a</w:t>
      </w:r>
      <w:r>
        <w:rPr>
          <w:rFonts w:ascii="Arial" w:eastAsia="Calibri" w:hAnsi="Arial" w:cs="Arial"/>
          <w:spacing w:val="-1"/>
          <w:sz w:val="17"/>
          <w:szCs w:val="17"/>
        </w:rPr>
        <w:t xml:space="preserve"> </w:t>
      </w:r>
      <w:r w:rsidR="00287B02" w:rsidRPr="00287B02">
        <w:rPr>
          <w:rFonts w:ascii="Arial" w:eastAsia="Calibri" w:hAnsi="Arial" w:cs="Arial"/>
          <w:spacing w:val="-1"/>
          <w:sz w:val="17"/>
          <w:szCs w:val="17"/>
        </w:rPr>
        <w:t>Fiscalía General del Estado</w:t>
      </w:r>
      <w:r w:rsidRPr="00D33F92">
        <w:rPr>
          <w:rFonts w:ascii="Arial" w:eastAsia="Calibri" w:hAnsi="Arial" w:cs="Arial"/>
          <w:spacing w:val="-1"/>
          <w:sz w:val="17"/>
          <w:szCs w:val="17"/>
        </w:rPr>
        <w:t>.</w:t>
      </w: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6C5505" w:rsidRPr="002D70DA" w:rsidRDefault="006C5505" w:rsidP="006C550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24422"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24422" w:rsidRPr="002D70DA" w:rsidRDefault="00B2442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2442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186E15"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Comisión de Transparencia y Acceso a la</w:t>
            </w:r>
          </w:p>
          <w:p w:rsidR="00186E15" w:rsidRPr="00560A6D" w:rsidRDefault="00186E15" w:rsidP="00186E15">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4,063,876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3,365,970 </w:t>
            </w:r>
          </w:p>
        </w:tc>
      </w:tr>
      <w:tr w:rsidR="00186E15"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560A6D" w:rsidRDefault="00186E15" w:rsidP="00186E15">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5,627,234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5,230,948 </w:t>
            </w:r>
          </w:p>
        </w:tc>
      </w:tr>
      <w:tr w:rsidR="00186E15"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Entidad Superior de Fiscalización del Estado de</w:t>
            </w:r>
          </w:p>
          <w:p w:rsidR="00186E15" w:rsidRPr="00C34218" w:rsidRDefault="00186E15" w:rsidP="00186E1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13,835,196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13,366,733 </w:t>
            </w:r>
          </w:p>
        </w:tc>
      </w:tr>
      <w:tr w:rsidR="00186E15"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477,345,204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440,517,091 </w:t>
            </w:r>
          </w:p>
        </w:tc>
      </w:tr>
      <w:tr w:rsidR="00186E15"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560A6D" w:rsidRDefault="00186E15" w:rsidP="00186E15">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14,352,228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15,471,056 </w:t>
            </w:r>
          </w:p>
        </w:tc>
      </w:tr>
      <w:tr w:rsidR="00186E15"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3,542,678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1,525,999 </w:t>
            </w:r>
          </w:p>
        </w:tc>
      </w:tr>
      <w:tr w:rsidR="00186E15"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C34218" w:rsidRDefault="00186E15" w:rsidP="00186E15">
            <w:pPr>
              <w:ind w:left="497"/>
              <w:rPr>
                <w:rFonts w:ascii="Arial" w:hAnsi="Arial" w:cs="Arial"/>
                <w:sz w:val="17"/>
                <w:szCs w:val="17"/>
              </w:rPr>
            </w:pPr>
            <w:r w:rsidRPr="00C34218">
              <w:rPr>
                <w:rFonts w:ascii="Arial" w:hAnsi="Arial" w:cs="Arial"/>
                <w:sz w:val="17"/>
                <w:szCs w:val="17"/>
              </w:rPr>
              <w:t>Tribunal de Justicia Administrativa del Estado de</w:t>
            </w:r>
          </w:p>
          <w:p w:rsidR="00186E15" w:rsidRPr="00560A6D" w:rsidRDefault="00186E15" w:rsidP="00186E15">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5,894,777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5,365,330 </w:t>
            </w:r>
          </w:p>
        </w:tc>
      </w:tr>
      <w:tr w:rsidR="00186E15" w:rsidRPr="002D70DA" w:rsidTr="00287B0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86E15" w:rsidRPr="00560A6D" w:rsidRDefault="00186E15" w:rsidP="00186E15">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2,142,076 </w:t>
            </w:r>
          </w:p>
        </w:tc>
        <w:tc>
          <w:tcPr>
            <w:tcW w:w="2180" w:type="dxa"/>
            <w:tcBorders>
              <w:top w:val="single" w:sz="4" w:space="0" w:color="auto"/>
              <w:left w:val="nil"/>
              <w:bottom w:val="single" w:sz="4" w:space="0" w:color="auto"/>
              <w:right w:val="single" w:sz="4" w:space="0" w:color="auto"/>
            </w:tcBorders>
            <w:shd w:val="clear" w:color="auto" w:fill="auto"/>
          </w:tcPr>
          <w:p w:rsidR="00186E15" w:rsidRPr="00186E15" w:rsidRDefault="00186E15" w:rsidP="00186E15">
            <w:pPr>
              <w:jc w:val="right"/>
              <w:rPr>
                <w:rFonts w:ascii="Arial" w:hAnsi="Arial" w:cs="Arial"/>
                <w:sz w:val="17"/>
                <w:szCs w:val="17"/>
              </w:rPr>
            </w:pPr>
            <w:r w:rsidRPr="00186E15">
              <w:rPr>
                <w:rFonts w:ascii="Arial" w:hAnsi="Arial" w:cs="Arial"/>
                <w:sz w:val="17"/>
                <w:szCs w:val="17"/>
              </w:rPr>
              <w:t xml:space="preserve">2,119,766 </w:t>
            </w:r>
          </w:p>
        </w:tc>
      </w:tr>
      <w:tr w:rsidR="00287B02" w:rsidRPr="002D70DA" w:rsidTr="00287B02">
        <w:trPr>
          <w:trHeight w:val="240"/>
          <w:jc w:val="center"/>
        </w:trPr>
        <w:tc>
          <w:tcPr>
            <w:tcW w:w="4900" w:type="dxa"/>
            <w:tcBorders>
              <w:top w:val="nil"/>
              <w:left w:val="nil"/>
              <w:bottom w:val="nil"/>
              <w:right w:val="single" w:sz="4" w:space="0" w:color="auto"/>
            </w:tcBorders>
            <w:shd w:val="clear" w:color="000000" w:fill="FFFFFF"/>
            <w:vAlign w:val="center"/>
            <w:hideMark/>
          </w:tcPr>
          <w:p w:rsidR="00287B02" w:rsidRPr="002D70DA" w:rsidRDefault="00287B02" w:rsidP="00287B0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87B02" w:rsidRPr="00287B02" w:rsidRDefault="00287B02" w:rsidP="00287B02">
            <w:pPr>
              <w:jc w:val="right"/>
              <w:rPr>
                <w:rFonts w:ascii="Arial" w:hAnsi="Arial" w:cs="Arial"/>
                <w:b/>
                <w:sz w:val="17"/>
                <w:szCs w:val="17"/>
              </w:rPr>
            </w:pPr>
            <w:r w:rsidRPr="00287B02">
              <w:rPr>
                <w:rFonts w:ascii="Arial" w:hAnsi="Arial" w:cs="Arial"/>
                <w:b/>
                <w:sz w:val="17"/>
                <w:szCs w:val="17"/>
              </w:rPr>
              <w:t xml:space="preserve">526,803,270 </w:t>
            </w:r>
          </w:p>
        </w:tc>
        <w:tc>
          <w:tcPr>
            <w:tcW w:w="2180" w:type="dxa"/>
            <w:tcBorders>
              <w:top w:val="nil"/>
              <w:left w:val="single" w:sz="4" w:space="0" w:color="auto"/>
              <w:bottom w:val="single" w:sz="4" w:space="0" w:color="auto"/>
              <w:right w:val="single" w:sz="4" w:space="0" w:color="auto"/>
            </w:tcBorders>
            <w:shd w:val="clear" w:color="000000" w:fill="FFFFFF"/>
          </w:tcPr>
          <w:p w:rsidR="00287B02" w:rsidRPr="00287B02" w:rsidRDefault="00287B02" w:rsidP="00287B02">
            <w:pPr>
              <w:jc w:val="right"/>
              <w:rPr>
                <w:rFonts w:ascii="Arial" w:hAnsi="Arial" w:cs="Arial"/>
                <w:b/>
                <w:sz w:val="17"/>
                <w:szCs w:val="17"/>
              </w:rPr>
            </w:pPr>
            <w:r w:rsidRPr="00287B02">
              <w:rPr>
                <w:rFonts w:ascii="Arial" w:hAnsi="Arial" w:cs="Arial"/>
                <w:b/>
                <w:sz w:val="17"/>
                <w:szCs w:val="17"/>
              </w:rPr>
              <w:t xml:space="preserve">486,962,893 </w:t>
            </w:r>
          </w:p>
        </w:tc>
      </w:tr>
    </w:tbl>
    <w:p w:rsidR="00A21366" w:rsidRDefault="00A21366" w:rsidP="00432E48">
      <w:pPr>
        <w:spacing w:before="80" w:line="250" w:lineRule="exact"/>
        <w:ind w:left="709"/>
        <w:jc w:val="both"/>
        <w:rPr>
          <w:rFonts w:ascii="Arial" w:eastAsia="Calibri" w:hAnsi="Arial" w:cs="Arial"/>
          <w:spacing w:val="-1"/>
          <w:sz w:val="17"/>
          <w:szCs w:val="17"/>
        </w:rPr>
      </w:pPr>
    </w:p>
    <w:p w:rsidR="00A21366" w:rsidRDefault="00A21366">
      <w:pPr>
        <w:rPr>
          <w:rFonts w:ascii="Arial" w:eastAsia="Calibri" w:hAnsi="Arial" w:cs="Arial"/>
          <w:spacing w:val="-1"/>
          <w:sz w:val="17"/>
          <w:szCs w:val="17"/>
        </w:rPr>
      </w:pPr>
      <w:r>
        <w:rPr>
          <w:rFonts w:ascii="Arial" w:eastAsia="Calibri" w:hAnsi="Arial" w:cs="Arial"/>
          <w:spacing w:val="-1"/>
          <w:sz w:val="17"/>
          <w:szCs w:val="17"/>
        </w:rPr>
        <w:br w:type="page"/>
      </w:r>
    </w:p>
    <w:p w:rsidR="00FB2635" w:rsidRPr="002D70DA" w:rsidRDefault="00FB2635" w:rsidP="00FB2635">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lastRenderedPageBreak/>
        <w:t>Activos Intangibles</w:t>
      </w:r>
    </w:p>
    <w:p w:rsidR="00C647ED" w:rsidRDefault="00C647ED" w:rsidP="00C647ED">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Intangibles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sidR="00FB2635">
        <w:rPr>
          <w:rFonts w:ascii="Arial" w:eastAsia="Calibri" w:hAnsi="Arial" w:cs="Arial"/>
          <w:spacing w:val="-1"/>
          <w:sz w:val="17"/>
          <w:szCs w:val="17"/>
        </w:rPr>
        <w:t>:</w:t>
      </w:r>
    </w:p>
    <w:p w:rsidR="00FB2635" w:rsidRPr="00785016" w:rsidRDefault="00FB2635" w:rsidP="00FB2635">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B2635" w:rsidRPr="002D70DA" w:rsidTr="00A21366">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635" w:rsidRPr="002D70DA" w:rsidRDefault="00FB2635" w:rsidP="00FE0D85">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635"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A21366" w:rsidRPr="002D70DA" w:rsidTr="00A21366">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A21366" w:rsidRPr="00E10447" w:rsidRDefault="00A21366" w:rsidP="00A21366">
            <w:pPr>
              <w:rPr>
                <w:rFonts w:ascii="Arial" w:hAnsi="Arial" w:cs="Arial"/>
                <w:sz w:val="17"/>
                <w:szCs w:val="17"/>
              </w:rPr>
            </w:pPr>
            <w:r w:rsidRPr="00E10447">
              <w:rPr>
                <w:rFonts w:ascii="Arial" w:hAnsi="Arial" w:cs="Arial"/>
                <w:sz w:val="17"/>
                <w:szCs w:val="17"/>
              </w:rPr>
              <w:t>Software</w:t>
            </w:r>
          </w:p>
        </w:tc>
        <w:tc>
          <w:tcPr>
            <w:tcW w:w="2180" w:type="dxa"/>
            <w:tcBorders>
              <w:top w:val="single" w:sz="4" w:space="0" w:color="auto"/>
              <w:left w:val="nil"/>
              <w:bottom w:val="single" w:sz="4" w:space="0" w:color="auto"/>
              <w:right w:val="single" w:sz="4" w:space="0" w:color="auto"/>
            </w:tcBorders>
            <w:shd w:val="clear" w:color="auto" w:fill="auto"/>
          </w:tcPr>
          <w:p w:rsidR="00A21366" w:rsidRPr="00A21366" w:rsidRDefault="00A21366" w:rsidP="00A21366">
            <w:pPr>
              <w:jc w:val="right"/>
              <w:rPr>
                <w:rFonts w:ascii="Arial" w:hAnsi="Arial" w:cs="Arial"/>
                <w:sz w:val="17"/>
                <w:szCs w:val="17"/>
              </w:rPr>
            </w:pPr>
            <w:r w:rsidRPr="00A21366">
              <w:rPr>
                <w:rFonts w:ascii="Arial" w:hAnsi="Arial" w:cs="Arial"/>
                <w:sz w:val="17"/>
                <w:szCs w:val="17"/>
              </w:rPr>
              <w:t xml:space="preserve"> 32,534,925 </w:t>
            </w:r>
          </w:p>
        </w:tc>
        <w:tc>
          <w:tcPr>
            <w:tcW w:w="2189" w:type="dxa"/>
            <w:gridSpan w:val="2"/>
            <w:tcBorders>
              <w:top w:val="single" w:sz="4" w:space="0" w:color="auto"/>
              <w:left w:val="nil"/>
              <w:bottom w:val="single" w:sz="4" w:space="0" w:color="auto"/>
              <w:right w:val="single" w:sz="4" w:space="0" w:color="auto"/>
            </w:tcBorders>
            <w:shd w:val="clear" w:color="auto" w:fill="auto"/>
          </w:tcPr>
          <w:p w:rsidR="00A21366" w:rsidRPr="00A21366" w:rsidRDefault="00A21366" w:rsidP="00A21366">
            <w:pPr>
              <w:jc w:val="right"/>
              <w:rPr>
                <w:rFonts w:ascii="Arial" w:hAnsi="Arial" w:cs="Arial"/>
                <w:sz w:val="17"/>
                <w:szCs w:val="17"/>
              </w:rPr>
            </w:pPr>
            <w:r w:rsidRPr="00A21366">
              <w:rPr>
                <w:rFonts w:ascii="Arial" w:hAnsi="Arial" w:cs="Arial"/>
                <w:sz w:val="17"/>
                <w:szCs w:val="17"/>
              </w:rPr>
              <w:t xml:space="preserve"> 31,040,942 </w:t>
            </w:r>
          </w:p>
        </w:tc>
      </w:tr>
      <w:tr w:rsidR="00A21366" w:rsidRPr="002D70DA" w:rsidTr="00A21366">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A21366" w:rsidRPr="00E10447" w:rsidRDefault="00A21366" w:rsidP="00A21366">
            <w:pPr>
              <w:rPr>
                <w:rFonts w:ascii="Arial" w:hAnsi="Arial" w:cs="Arial"/>
                <w:sz w:val="17"/>
                <w:szCs w:val="17"/>
              </w:rPr>
            </w:pPr>
            <w:r w:rsidRPr="00E10447">
              <w:rPr>
                <w:rFonts w:ascii="Arial" w:hAnsi="Arial" w:cs="Arial"/>
                <w:sz w:val="17"/>
                <w:szCs w:val="17"/>
              </w:rPr>
              <w:t>Licencias</w:t>
            </w:r>
          </w:p>
        </w:tc>
        <w:tc>
          <w:tcPr>
            <w:tcW w:w="2180" w:type="dxa"/>
            <w:tcBorders>
              <w:top w:val="single" w:sz="4" w:space="0" w:color="auto"/>
              <w:left w:val="nil"/>
              <w:bottom w:val="single" w:sz="4" w:space="0" w:color="auto"/>
              <w:right w:val="single" w:sz="4" w:space="0" w:color="auto"/>
            </w:tcBorders>
            <w:shd w:val="clear" w:color="auto" w:fill="auto"/>
          </w:tcPr>
          <w:p w:rsidR="00A21366" w:rsidRPr="00A21366" w:rsidRDefault="00A21366" w:rsidP="00A21366">
            <w:pPr>
              <w:jc w:val="right"/>
              <w:rPr>
                <w:rFonts w:ascii="Arial" w:hAnsi="Arial" w:cs="Arial"/>
                <w:sz w:val="17"/>
                <w:szCs w:val="17"/>
              </w:rPr>
            </w:pPr>
            <w:r w:rsidRPr="00A21366">
              <w:rPr>
                <w:rFonts w:ascii="Arial" w:hAnsi="Arial" w:cs="Arial"/>
                <w:sz w:val="17"/>
                <w:szCs w:val="17"/>
              </w:rPr>
              <w:t xml:space="preserve"> 5,962,163 </w:t>
            </w:r>
          </w:p>
        </w:tc>
        <w:tc>
          <w:tcPr>
            <w:tcW w:w="2189" w:type="dxa"/>
            <w:gridSpan w:val="2"/>
            <w:tcBorders>
              <w:top w:val="single" w:sz="4" w:space="0" w:color="auto"/>
              <w:left w:val="nil"/>
              <w:bottom w:val="single" w:sz="4" w:space="0" w:color="auto"/>
              <w:right w:val="single" w:sz="4" w:space="0" w:color="auto"/>
            </w:tcBorders>
            <w:shd w:val="clear" w:color="auto" w:fill="auto"/>
          </w:tcPr>
          <w:p w:rsidR="00A21366" w:rsidRPr="00A21366" w:rsidRDefault="00A21366" w:rsidP="00A21366">
            <w:pPr>
              <w:jc w:val="right"/>
              <w:rPr>
                <w:rFonts w:ascii="Arial" w:hAnsi="Arial" w:cs="Arial"/>
                <w:sz w:val="17"/>
                <w:szCs w:val="17"/>
              </w:rPr>
            </w:pPr>
            <w:r w:rsidRPr="00A21366">
              <w:rPr>
                <w:rFonts w:ascii="Arial" w:hAnsi="Arial" w:cs="Arial"/>
                <w:sz w:val="17"/>
                <w:szCs w:val="17"/>
              </w:rPr>
              <w:t xml:space="preserve"> 274,284 </w:t>
            </w:r>
          </w:p>
        </w:tc>
      </w:tr>
      <w:tr w:rsidR="00A21366" w:rsidRPr="002D70DA" w:rsidTr="00A21366">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A21366" w:rsidRPr="002D70DA" w:rsidRDefault="00A21366" w:rsidP="00A2136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21366" w:rsidRPr="00A21366" w:rsidRDefault="00A21366" w:rsidP="00A21366">
            <w:pPr>
              <w:jc w:val="right"/>
              <w:rPr>
                <w:rFonts w:ascii="Arial" w:hAnsi="Arial" w:cs="Arial"/>
                <w:b/>
                <w:sz w:val="17"/>
                <w:szCs w:val="17"/>
              </w:rPr>
            </w:pPr>
            <w:r w:rsidRPr="00A21366">
              <w:rPr>
                <w:rFonts w:ascii="Arial" w:hAnsi="Arial" w:cs="Arial"/>
                <w:b/>
                <w:sz w:val="17"/>
                <w:szCs w:val="17"/>
              </w:rPr>
              <w:t xml:space="preserve"> 38,497,087 </w:t>
            </w:r>
          </w:p>
        </w:tc>
        <w:tc>
          <w:tcPr>
            <w:tcW w:w="2179" w:type="dxa"/>
            <w:tcBorders>
              <w:top w:val="nil"/>
              <w:left w:val="single" w:sz="4" w:space="0" w:color="auto"/>
              <w:bottom w:val="single" w:sz="4" w:space="0" w:color="auto"/>
              <w:right w:val="single" w:sz="4" w:space="0" w:color="auto"/>
            </w:tcBorders>
            <w:shd w:val="clear" w:color="000000" w:fill="FFFFFF"/>
          </w:tcPr>
          <w:p w:rsidR="00A21366" w:rsidRPr="00A21366" w:rsidRDefault="00A21366" w:rsidP="00A21366">
            <w:pPr>
              <w:jc w:val="right"/>
              <w:rPr>
                <w:rFonts w:ascii="Arial" w:hAnsi="Arial" w:cs="Arial"/>
                <w:b/>
                <w:sz w:val="17"/>
                <w:szCs w:val="17"/>
              </w:rPr>
            </w:pPr>
            <w:r w:rsidRPr="00A21366">
              <w:rPr>
                <w:rFonts w:ascii="Arial" w:hAnsi="Arial" w:cs="Arial"/>
                <w:b/>
                <w:sz w:val="17"/>
                <w:szCs w:val="17"/>
              </w:rPr>
              <w:t xml:space="preserve"> 31,315,226 </w:t>
            </w:r>
          </w:p>
        </w:tc>
      </w:tr>
    </w:tbl>
    <w:p w:rsidR="00D33839" w:rsidRDefault="00D33839" w:rsidP="00C647ED">
      <w:pPr>
        <w:spacing w:before="80" w:line="250" w:lineRule="exact"/>
        <w:ind w:left="709"/>
        <w:jc w:val="both"/>
        <w:rPr>
          <w:rFonts w:ascii="Arial" w:eastAsia="Calibri" w:hAnsi="Arial" w:cs="Arial"/>
          <w:spacing w:val="-1"/>
          <w:sz w:val="17"/>
          <w:szCs w:val="17"/>
        </w:rPr>
      </w:pPr>
    </w:p>
    <w:p w:rsidR="00FB2635" w:rsidRDefault="00D33839" w:rsidP="00C647ED">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incremento en el saldo del rubro Activos Intangibles, corresponde </w:t>
      </w:r>
      <w:r w:rsidR="00E10447">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sidR="00A21366">
        <w:rPr>
          <w:rFonts w:ascii="Arial" w:eastAsia="Calibri" w:hAnsi="Arial" w:cs="Arial"/>
          <w:spacing w:val="-1"/>
          <w:sz w:val="17"/>
          <w:szCs w:val="17"/>
        </w:rPr>
        <w:t>incorporación de L</w:t>
      </w:r>
      <w:r w:rsidRPr="00D33839">
        <w:rPr>
          <w:rFonts w:ascii="Arial" w:eastAsia="Calibri" w:hAnsi="Arial" w:cs="Arial"/>
          <w:spacing w:val="-1"/>
          <w:sz w:val="17"/>
          <w:szCs w:val="17"/>
        </w:rPr>
        <w:t>icencias por parte de</w:t>
      </w:r>
      <w:r w:rsidR="00A21366">
        <w:rPr>
          <w:rFonts w:ascii="Arial" w:eastAsia="Calibri" w:hAnsi="Arial" w:cs="Arial"/>
          <w:spacing w:val="-1"/>
          <w:sz w:val="17"/>
          <w:szCs w:val="17"/>
        </w:rPr>
        <w:t xml:space="preserve"> </w:t>
      </w:r>
      <w:r>
        <w:rPr>
          <w:rFonts w:ascii="Arial" w:eastAsia="Calibri" w:hAnsi="Arial" w:cs="Arial"/>
          <w:spacing w:val="-1"/>
          <w:sz w:val="17"/>
          <w:szCs w:val="17"/>
        </w:rPr>
        <w:t>l</w:t>
      </w:r>
      <w:r w:rsidR="00A21366">
        <w:rPr>
          <w:rFonts w:ascii="Arial" w:eastAsia="Calibri" w:hAnsi="Arial" w:cs="Arial"/>
          <w:spacing w:val="-1"/>
          <w:sz w:val="17"/>
          <w:szCs w:val="17"/>
        </w:rPr>
        <w:t>a</w:t>
      </w:r>
      <w:r>
        <w:rPr>
          <w:rFonts w:ascii="Arial" w:eastAsia="Calibri" w:hAnsi="Arial" w:cs="Arial"/>
          <w:spacing w:val="-1"/>
          <w:sz w:val="17"/>
          <w:szCs w:val="17"/>
        </w:rPr>
        <w:t xml:space="preserve"> </w:t>
      </w:r>
      <w:proofErr w:type="spellStart"/>
      <w:r w:rsidR="00A21366">
        <w:rPr>
          <w:rFonts w:ascii="Arial" w:eastAsia="Calibri" w:hAnsi="Arial" w:cs="Arial"/>
          <w:spacing w:val="-1"/>
          <w:sz w:val="17"/>
          <w:szCs w:val="17"/>
        </w:rPr>
        <w:t>la</w:t>
      </w:r>
      <w:proofErr w:type="spellEnd"/>
      <w:r w:rsidR="00A21366">
        <w:rPr>
          <w:rFonts w:ascii="Arial" w:eastAsia="Calibri" w:hAnsi="Arial" w:cs="Arial"/>
          <w:spacing w:val="-1"/>
          <w:sz w:val="17"/>
          <w:szCs w:val="17"/>
        </w:rPr>
        <w:t xml:space="preserve"> </w:t>
      </w:r>
      <w:r w:rsidR="00A21366" w:rsidRPr="00287B02">
        <w:rPr>
          <w:rFonts w:ascii="Arial" w:eastAsia="Calibri" w:hAnsi="Arial" w:cs="Arial"/>
          <w:spacing w:val="-1"/>
          <w:sz w:val="17"/>
          <w:szCs w:val="17"/>
        </w:rPr>
        <w:t>Fiscalía General del Estado</w:t>
      </w:r>
      <w:r>
        <w:rPr>
          <w:rFonts w:ascii="Arial" w:eastAsia="Calibri" w:hAnsi="Arial" w:cs="Arial"/>
          <w:spacing w:val="-1"/>
          <w:sz w:val="17"/>
          <w:szCs w:val="17"/>
        </w:rPr>
        <w:t>.</w:t>
      </w:r>
    </w:p>
    <w:p w:rsidR="00A91D78" w:rsidRDefault="00A91D78">
      <w:pPr>
        <w:rPr>
          <w:rFonts w:ascii="Arial" w:eastAsia="Calibri" w:hAnsi="Arial" w:cs="Arial"/>
          <w:spacing w:val="-1"/>
          <w:sz w:val="17"/>
          <w:szCs w:val="17"/>
        </w:rPr>
      </w:pPr>
    </w:p>
    <w:p w:rsidR="001B5113" w:rsidRDefault="001B5113">
      <w:pPr>
        <w:rPr>
          <w:rFonts w:ascii="Arial" w:eastAsia="Calibri" w:hAnsi="Arial" w:cs="Arial"/>
          <w:spacing w:val="-1"/>
          <w:sz w:val="17"/>
          <w:szCs w:val="17"/>
        </w:rPr>
      </w:pPr>
    </w:p>
    <w:p w:rsidR="00FB2635" w:rsidRDefault="00FB2635" w:rsidP="00FB263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cual está distribuido de la siguiente manera:</w:t>
      </w:r>
    </w:p>
    <w:p w:rsidR="00AE1697" w:rsidRPr="002D70DA" w:rsidRDefault="00FB2635" w:rsidP="00AE169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w:t>
      </w:r>
      <w:r w:rsidR="00AE1697"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155FC3" w:rsidRPr="002D70DA" w:rsidTr="00A2136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5FC3" w:rsidRPr="002D70DA" w:rsidRDefault="00155FC3"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5FC3"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0545B0" w:rsidRPr="002D70DA" w:rsidTr="00A2136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560A6D" w:rsidRDefault="000545B0" w:rsidP="000545B0">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347,246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157,246 </w:t>
            </w:r>
          </w:p>
        </w:tc>
      </w:tr>
      <w:tr w:rsidR="000545B0" w:rsidRPr="002D70DA" w:rsidTr="00A2136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ind w:left="497"/>
              <w:rPr>
                <w:rFonts w:ascii="Arial" w:hAnsi="Arial" w:cs="Arial"/>
                <w:sz w:val="17"/>
                <w:szCs w:val="17"/>
              </w:rPr>
            </w:pPr>
            <w:r w:rsidRPr="00C34218">
              <w:rPr>
                <w:rFonts w:ascii="Arial" w:hAnsi="Arial" w:cs="Arial"/>
                <w:sz w:val="17"/>
                <w:szCs w:val="17"/>
              </w:rPr>
              <w:t>Entidad Superior de Fiscalización del Estado de</w:t>
            </w:r>
          </w:p>
          <w:p w:rsidR="000545B0" w:rsidRPr="00C34218" w:rsidRDefault="000545B0" w:rsidP="000545B0">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778,444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508,201 </w:t>
            </w:r>
          </w:p>
        </w:tc>
      </w:tr>
      <w:tr w:rsidR="000545B0" w:rsidRPr="002D70DA" w:rsidTr="00A2136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36,838,645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30,173,334 </w:t>
            </w:r>
          </w:p>
        </w:tc>
      </w:tr>
      <w:tr w:rsidR="000545B0" w:rsidRPr="002D70DA" w:rsidTr="00A2136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560A6D" w:rsidRDefault="000545B0" w:rsidP="000545B0">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309,698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309,698 </w:t>
            </w:r>
          </w:p>
        </w:tc>
      </w:tr>
      <w:tr w:rsidR="000545B0" w:rsidRPr="002D70DA" w:rsidTr="00A2136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62,844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12,876 </w:t>
            </w:r>
          </w:p>
        </w:tc>
      </w:tr>
      <w:tr w:rsidR="000545B0" w:rsidRPr="002D70DA" w:rsidTr="00A2136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C34218" w:rsidRDefault="000545B0" w:rsidP="000545B0">
            <w:pPr>
              <w:ind w:left="497"/>
              <w:rPr>
                <w:rFonts w:ascii="Arial" w:hAnsi="Arial" w:cs="Arial"/>
                <w:sz w:val="17"/>
                <w:szCs w:val="17"/>
              </w:rPr>
            </w:pPr>
            <w:r w:rsidRPr="00C34218">
              <w:rPr>
                <w:rFonts w:ascii="Arial" w:hAnsi="Arial" w:cs="Arial"/>
                <w:sz w:val="17"/>
                <w:szCs w:val="17"/>
              </w:rPr>
              <w:t>Tribunal de Justicia Administrativa del Estado de</w:t>
            </w:r>
          </w:p>
          <w:p w:rsidR="000545B0" w:rsidRPr="00560A6D" w:rsidRDefault="000545B0" w:rsidP="000545B0">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72,669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72,669 </w:t>
            </w:r>
          </w:p>
        </w:tc>
      </w:tr>
      <w:tr w:rsidR="000545B0" w:rsidRPr="002D70DA" w:rsidTr="00A21366">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0545B0" w:rsidRPr="00560A6D" w:rsidRDefault="000545B0" w:rsidP="000545B0">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87,541 </w:t>
            </w:r>
          </w:p>
        </w:tc>
        <w:tc>
          <w:tcPr>
            <w:tcW w:w="2180" w:type="dxa"/>
            <w:tcBorders>
              <w:top w:val="single" w:sz="4" w:space="0" w:color="auto"/>
              <w:left w:val="nil"/>
              <w:bottom w:val="single" w:sz="4" w:space="0" w:color="auto"/>
              <w:right w:val="single" w:sz="4" w:space="0" w:color="auto"/>
            </w:tcBorders>
            <w:shd w:val="clear" w:color="auto" w:fill="auto"/>
          </w:tcPr>
          <w:p w:rsidR="000545B0" w:rsidRPr="000545B0" w:rsidRDefault="000545B0" w:rsidP="000545B0">
            <w:pPr>
              <w:jc w:val="right"/>
              <w:rPr>
                <w:rFonts w:ascii="Arial" w:hAnsi="Arial" w:cs="Arial"/>
                <w:sz w:val="17"/>
                <w:szCs w:val="17"/>
              </w:rPr>
            </w:pPr>
            <w:r w:rsidRPr="000545B0">
              <w:rPr>
                <w:rFonts w:ascii="Arial" w:hAnsi="Arial" w:cs="Arial"/>
                <w:sz w:val="17"/>
                <w:szCs w:val="17"/>
              </w:rPr>
              <w:t xml:space="preserve">81,202 </w:t>
            </w:r>
          </w:p>
        </w:tc>
      </w:tr>
      <w:tr w:rsidR="00A21366" w:rsidRPr="002D70DA" w:rsidTr="00A21366">
        <w:trPr>
          <w:trHeight w:val="240"/>
          <w:jc w:val="center"/>
        </w:trPr>
        <w:tc>
          <w:tcPr>
            <w:tcW w:w="4900" w:type="dxa"/>
            <w:tcBorders>
              <w:top w:val="nil"/>
              <w:left w:val="nil"/>
              <w:bottom w:val="nil"/>
              <w:right w:val="single" w:sz="4" w:space="0" w:color="auto"/>
            </w:tcBorders>
            <w:shd w:val="clear" w:color="000000" w:fill="FFFFFF"/>
            <w:vAlign w:val="center"/>
            <w:hideMark/>
          </w:tcPr>
          <w:p w:rsidR="00A21366" w:rsidRPr="002D70DA" w:rsidRDefault="00A21366" w:rsidP="00A21366">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A21366" w:rsidRPr="00A21366" w:rsidRDefault="00A21366" w:rsidP="00A21366">
            <w:pPr>
              <w:jc w:val="right"/>
              <w:rPr>
                <w:rFonts w:ascii="Arial" w:hAnsi="Arial" w:cs="Arial"/>
                <w:b/>
                <w:sz w:val="17"/>
                <w:szCs w:val="17"/>
              </w:rPr>
            </w:pPr>
            <w:r w:rsidRPr="00A21366">
              <w:rPr>
                <w:rFonts w:ascii="Arial" w:hAnsi="Arial" w:cs="Arial"/>
                <w:b/>
                <w:sz w:val="17"/>
                <w:szCs w:val="17"/>
              </w:rPr>
              <w:t xml:space="preserve">38,497,087 </w:t>
            </w:r>
          </w:p>
        </w:tc>
        <w:tc>
          <w:tcPr>
            <w:tcW w:w="2180" w:type="dxa"/>
            <w:tcBorders>
              <w:top w:val="nil"/>
              <w:left w:val="single" w:sz="4" w:space="0" w:color="auto"/>
              <w:bottom w:val="single" w:sz="4" w:space="0" w:color="auto"/>
              <w:right w:val="single" w:sz="4" w:space="0" w:color="auto"/>
            </w:tcBorders>
            <w:shd w:val="clear" w:color="000000" w:fill="FFFFFF"/>
          </w:tcPr>
          <w:p w:rsidR="00A21366" w:rsidRPr="00A21366" w:rsidRDefault="00A21366" w:rsidP="00A21366">
            <w:pPr>
              <w:jc w:val="right"/>
              <w:rPr>
                <w:rFonts w:ascii="Arial" w:hAnsi="Arial" w:cs="Arial"/>
                <w:b/>
                <w:sz w:val="17"/>
                <w:szCs w:val="17"/>
              </w:rPr>
            </w:pPr>
            <w:r w:rsidRPr="00A21366">
              <w:rPr>
                <w:rFonts w:ascii="Arial" w:hAnsi="Arial" w:cs="Arial"/>
                <w:b/>
                <w:sz w:val="17"/>
                <w:szCs w:val="17"/>
              </w:rPr>
              <w:t xml:space="preserve">31,315,226 </w:t>
            </w:r>
          </w:p>
        </w:tc>
      </w:tr>
    </w:tbl>
    <w:p w:rsidR="00FB2635" w:rsidRDefault="00FB2635" w:rsidP="00145CB3">
      <w:pPr>
        <w:spacing w:before="80" w:line="250" w:lineRule="exact"/>
        <w:ind w:left="709"/>
        <w:jc w:val="both"/>
        <w:rPr>
          <w:rFonts w:ascii="Arial" w:eastAsia="Calibri" w:hAnsi="Arial" w:cs="Arial"/>
          <w:spacing w:val="-1"/>
          <w:sz w:val="17"/>
          <w:szCs w:val="17"/>
        </w:rPr>
      </w:pPr>
    </w:p>
    <w:p w:rsidR="00881854" w:rsidRDefault="00881854">
      <w:pPr>
        <w:rPr>
          <w:rFonts w:ascii="Arial" w:eastAsia="Calibri" w:hAnsi="Arial" w:cs="Arial"/>
          <w:spacing w:val="-1"/>
          <w:sz w:val="17"/>
          <w:szCs w:val="17"/>
        </w:rPr>
      </w:pPr>
      <w:r>
        <w:rPr>
          <w:rFonts w:ascii="Arial" w:eastAsia="Calibri" w:hAnsi="Arial" w:cs="Arial"/>
          <w:spacing w:val="-1"/>
          <w:sz w:val="17"/>
          <w:szCs w:val="17"/>
        </w:rPr>
        <w:br w:type="page"/>
      </w:r>
    </w:p>
    <w:p w:rsidR="00D33839" w:rsidRDefault="00D33839">
      <w:pPr>
        <w:rPr>
          <w:rFonts w:ascii="Arial" w:eastAsia="Calibri" w:hAnsi="Arial" w:cs="Arial"/>
          <w:spacing w:val="-1"/>
          <w:sz w:val="17"/>
          <w:szCs w:val="17"/>
        </w:rPr>
      </w:pPr>
    </w:p>
    <w:p w:rsidR="006E6D44" w:rsidRPr="00077B39" w:rsidRDefault="006E6D44" w:rsidP="006E6D44">
      <w:pPr>
        <w:spacing w:before="80" w:line="250" w:lineRule="exact"/>
        <w:ind w:left="709"/>
        <w:jc w:val="both"/>
        <w:rPr>
          <w:rFonts w:ascii="Arial" w:eastAsia="Calibri" w:hAnsi="Arial" w:cs="Arial"/>
          <w:spacing w:val="-1"/>
          <w:sz w:val="17"/>
          <w:szCs w:val="17"/>
        </w:rPr>
      </w:pPr>
      <w:r w:rsidRPr="00077B39">
        <w:rPr>
          <w:rFonts w:ascii="Arial" w:eastAsia="Calibri" w:hAnsi="Arial" w:cs="Arial"/>
          <w:spacing w:val="-1"/>
          <w:sz w:val="17"/>
          <w:szCs w:val="17"/>
        </w:rPr>
        <w:t xml:space="preserve">Se informa </w:t>
      </w:r>
      <w:r>
        <w:rPr>
          <w:rFonts w:ascii="Arial" w:eastAsia="Calibri" w:hAnsi="Arial" w:cs="Arial"/>
          <w:spacing w:val="-1"/>
          <w:sz w:val="17"/>
          <w:szCs w:val="17"/>
        </w:rPr>
        <w:t>de la cuenta</w:t>
      </w:r>
      <w:r w:rsidRPr="00077B39">
        <w:rPr>
          <w:rFonts w:ascii="Arial" w:eastAsia="Calibri" w:hAnsi="Arial" w:cs="Arial"/>
          <w:spacing w:val="-1"/>
          <w:sz w:val="17"/>
          <w:szCs w:val="17"/>
        </w:rPr>
        <w:t xml:space="preserve"> de bienes, el monto al 31 de diciembre del </w:t>
      </w:r>
      <w:r w:rsidR="009831D5">
        <w:rPr>
          <w:rFonts w:ascii="Arial" w:eastAsia="Calibri" w:hAnsi="Arial" w:cs="Arial"/>
          <w:spacing w:val="-1"/>
          <w:sz w:val="17"/>
          <w:szCs w:val="17"/>
        </w:rPr>
        <w:t>2019</w:t>
      </w:r>
      <w:r w:rsidRPr="00077B39">
        <w:rPr>
          <w:rFonts w:ascii="Arial" w:eastAsia="Calibri" w:hAnsi="Arial" w:cs="Arial"/>
          <w:spacing w:val="-1"/>
          <w:sz w:val="17"/>
          <w:szCs w:val="17"/>
        </w:rPr>
        <w:t xml:space="preserve"> de la depreciaci</w:t>
      </w:r>
      <w:r>
        <w:rPr>
          <w:rFonts w:ascii="Arial" w:eastAsia="Calibri" w:hAnsi="Arial" w:cs="Arial"/>
          <w:spacing w:val="-1"/>
          <w:sz w:val="17"/>
          <w:szCs w:val="17"/>
        </w:rPr>
        <w:t>ón del ejercicio y la acumulada</w:t>
      </w:r>
      <w:r w:rsidRPr="00077B39">
        <w:rPr>
          <w:rFonts w:ascii="Arial" w:eastAsia="Calibri" w:hAnsi="Arial" w:cs="Arial"/>
          <w:spacing w:val="-1"/>
          <w:sz w:val="17"/>
          <w:szCs w:val="17"/>
        </w:rPr>
        <w:t>:</w:t>
      </w:r>
    </w:p>
    <w:p w:rsidR="006E6D44" w:rsidRPr="00077B39" w:rsidRDefault="006E6D44" w:rsidP="006E6D44">
      <w:pPr>
        <w:autoSpaceDE w:val="0"/>
        <w:autoSpaceDN w:val="0"/>
        <w:adjustRightInd w:val="0"/>
        <w:spacing w:before="240" w:after="120"/>
        <w:ind w:left="360"/>
        <w:jc w:val="center"/>
        <w:rPr>
          <w:rFonts w:ascii="Arial" w:eastAsia="Calibri" w:hAnsi="Arial" w:cs="Arial"/>
          <w:b/>
          <w:spacing w:val="-1"/>
          <w:sz w:val="17"/>
          <w:szCs w:val="17"/>
        </w:rPr>
      </w:pPr>
      <w:r w:rsidRPr="00077B39">
        <w:rPr>
          <w:rFonts w:ascii="Arial" w:eastAsia="Calibri" w:hAnsi="Arial" w:cs="Arial"/>
          <w:b/>
          <w:spacing w:val="-1"/>
          <w:sz w:val="17"/>
          <w:szCs w:val="17"/>
        </w:rPr>
        <w:t>(Pesos)</w:t>
      </w:r>
    </w:p>
    <w:tbl>
      <w:tblPr>
        <w:tblW w:w="2236" w:type="pct"/>
        <w:jc w:val="center"/>
        <w:tblCellMar>
          <w:left w:w="70" w:type="dxa"/>
          <w:right w:w="70" w:type="dxa"/>
        </w:tblCellMar>
        <w:tblLook w:val="04A0" w:firstRow="1" w:lastRow="0" w:firstColumn="1" w:lastColumn="0" w:noHBand="0" w:noVBand="1"/>
      </w:tblPr>
      <w:tblGrid>
        <w:gridCol w:w="3048"/>
        <w:gridCol w:w="1446"/>
        <w:gridCol w:w="1444"/>
      </w:tblGrid>
      <w:tr w:rsidR="006E6D44" w:rsidRPr="002D70DA" w:rsidTr="002E2741">
        <w:trPr>
          <w:trHeight w:val="299"/>
          <w:jc w:val="center"/>
        </w:trPr>
        <w:tc>
          <w:tcPr>
            <w:tcW w:w="2566" w:type="pct"/>
            <w:vMerge w:val="restart"/>
            <w:tcBorders>
              <w:top w:val="single" w:sz="4" w:space="0" w:color="auto"/>
              <w:left w:val="single" w:sz="4" w:space="0" w:color="auto"/>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1218"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1217" w:type="pct"/>
            <w:vMerge w:val="restart"/>
            <w:tcBorders>
              <w:top w:val="single" w:sz="4" w:space="0" w:color="auto"/>
              <w:left w:val="nil"/>
              <w:right w:val="single" w:sz="4" w:space="0" w:color="auto"/>
            </w:tcBorders>
            <w:shd w:val="clear" w:color="auto" w:fill="D5DCE4" w:themeFill="text2" w:themeFillTint="33"/>
            <w:vAlign w:val="center"/>
            <w:hideMark/>
          </w:tcPr>
          <w:p w:rsidR="006E6D44" w:rsidRPr="002D70DA" w:rsidRDefault="006E6D44" w:rsidP="00E9318E">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r>
      <w:tr w:rsidR="006E6D44" w:rsidRPr="002D70DA" w:rsidTr="002E2741">
        <w:trPr>
          <w:trHeight w:val="299"/>
          <w:jc w:val="center"/>
        </w:trPr>
        <w:tc>
          <w:tcPr>
            <w:tcW w:w="2566" w:type="pct"/>
            <w:vMerge/>
            <w:tcBorders>
              <w:left w:val="single" w:sz="4" w:space="0" w:color="auto"/>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8"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c>
          <w:tcPr>
            <w:tcW w:w="1217" w:type="pct"/>
            <w:vMerge/>
            <w:tcBorders>
              <w:left w:val="nil"/>
              <w:bottom w:val="single" w:sz="4" w:space="0" w:color="auto"/>
              <w:right w:val="single" w:sz="4" w:space="0" w:color="auto"/>
            </w:tcBorders>
            <w:shd w:val="clear" w:color="000000" w:fill="F2F2F2"/>
            <w:vAlign w:val="center"/>
          </w:tcPr>
          <w:p w:rsidR="006E6D44" w:rsidRPr="002D70DA" w:rsidRDefault="006E6D44" w:rsidP="00E9318E">
            <w:pPr>
              <w:jc w:val="center"/>
              <w:rPr>
                <w:rFonts w:ascii="Arial" w:hAnsi="Arial" w:cs="Arial"/>
                <w:b/>
                <w:bCs/>
                <w:color w:val="000000"/>
                <w:sz w:val="17"/>
                <w:szCs w:val="17"/>
              </w:rPr>
            </w:pPr>
          </w:p>
        </w:tc>
      </w:tr>
      <w:tr w:rsidR="002E2741" w:rsidRPr="002D70DA" w:rsidTr="002E2741">
        <w:trPr>
          <w:trHeight w:val="240"/>
          <w:jc w:val="center"/>
        </w:trPr>
        <w:tc>
          <w:tcPr>
            <w:tcW w:w="2566" w:type="pct"/>
            <w:tcBorders>
              <w:top w:val="nil"/>
              <w:left w:val="single" w:sz="4" w:space="0" w:color="auto"/>
              <w:bottom w:val="single" w:sz="4" w:space="0" w:color="auto"/>
              <w:right w:val="single" w:sz="4" w:space="0" w:color="auto"/>
            </w:tcBorders>
            <w:shd w:val="clear" w:color="auto" w:fill="auto"/>
            <w:vAlign w:val="center"/>
            <w:hideMark/>
          </w:tcPr>
          <w:p w:rsidR="002E2741" w:rsidRPr="002D70DA" w:rsidRDefault="002E2741" w:rsidP="002E2741">
            <w:pPr>
              <w:rPr>
                <w:rFonts w:ascii="Arial" w:hAnsi="Arial" w:cs="Arial"/>
                <w:color w:val="000000"/>
                <w:sz w:val="17"/>
                <w:szCs w:val="17"/>
              </w:rPr>
            </w:pPr>
            <w:r w:rsidRPr="009B6079">
              <w:rPr>
                <w:rFonts w:ascii="Arial" w:hAnsi="Arial" w:cs="Arial"/>
                <w:color w:val="000000"/>
                <w:sz w:val="17"/>
                <w:szCs w:val="17"/>
              </w:rPr>
              <w:t>Depreciac</w:t>
            </w:r>
            <w:r>
              <w:rPr>
                <w:rFonts w:ascii="Arial" w:hAnsi="Arial" w:cs="Arial"/>
                <w:color w:val="000000"/>
                <w:sz w:val="17"/>
                <w:szCs w:val="17"/>
              </w:rPr>
              <w:t>ión Acumulada de Bienes</w:t>
            </w:r>
          </w:p>
        </w:tc>
        <w:tc>
          <w:tcPr>
            <w:tcW w:w="1218" w:type="pct"/>
            <w:tcBorders>
              <w:top w:val="nil"/>
              <w:left w:val="nil"/>
              <w:bottom w:val="single" w:sz="4" w:space="0" w:color="auto"/>
              <w:right w:val="single" w:sz="4" w:space="0" w:color="auto"/>
            </w:tcBorders>
            <w:shd w:val="clear" w:color="auto" w:fill="auto"/>
          </w:tcPr>
          <w:p w:rsidR="002E2741" w:rsidRPr="002E2741" w:rsidRDefault="00B47560" w:rsidP="00B47560">
            <w:pPr>
              <w:jc w:val="right"/>
              <w:rPr>
                <w:rFonts w:ascii="Arial" w:hAnsi="Arial" w:cs="Arial"/>
                <w:b/>
                <w:sz w:val="17"/>
                <w:szCs w:val="17"/>
              </w:rPr>
            </w:pPr>
            <w:r w:rsidRPr="00B47560">
              <w:rPr>
                <w:rFonts w:ascii="Arial" w:hAnsi="Arial" w:cs="Arial"/>
                <w:b/>
                <w:sz w:val="17"/>
                <w:szCs w:val="17"/>
              </w:rPr>
              <w:t>31,309,651</w:t>
            </w:r>
          </w:p>
        </w:tc>
        <w:tc>
          <w:tcPr>
            <w:tcW w:w="1217" w:type="pct"/>
            <w:tcBorders>
              <w:top w:val="nil"/>
              <w:left w:val="nil"/>
              <w:bottom w:val="single" w:sz="4" w:space="0" w:color="auto"/>
              <w:right w:val="single" w:sz="4" w:space="0" w:color="auto"/>
            </w:tcBorders>
            <w:shd w:val="clear" w:color="auto" w:fill="auto"/>
          </w:tcPr>
          <w:p w:rsidR="002E2741" w:rsidRPr="002E2741" w:rsidRDefault="00B47560" w:rsidP="002E2741">
            <w:pPr>
              <w:jc w:val="right"/>
              <w:rPr>
                <w:rFonts w:ascii="Arial" w:hAnsi="Arial" w:cs="Arial"/>
                <w:b/>
                <w:sz w:val="17"/>
                <w:szCs w:val="17"/>
              </w:rPr>
            </w:pPr>
            <w:r w:rsidRPr="00B47560">
              <w:rPr>
                <w:rFonts w:ascii="Arial" w:hAnsi="Arial" w:cs="Arial"/>
                <w:b/>
                <w:sz w:val="17"/>
                <w:szCs w:val="17"/>
              </w:rPr>
              <w:t>69,468,844</w:t>
            </w:r>
          </w:p>
        </w:tc>
      </w:tr>
    </w:tbl>
    <w:p w:rsidR="006E6D44" w:rsidRDefault="006E6D44" w:rsidP="006E6D44">
      <w:pPr>
        <w:spacing w:before="80" w:line="250" w:lineRule="exact"/>
        <w:ind w:left="709"/>
        <w:jc w:val="both"/>
        <w:rPr>
          <w:rFonts w:ascii="Arial" w:eastAsia="Calibri" w:hAnsi="Arial" w:cs="Arial"/>
          <w:spacing w:val="-1"/>
          <w:sz w:val="17"/>
          <w:szCs w:val="17"/>
        </w:rPr>
      </w:pPr>
    </w:p>
    <w:p w:rsidR="000A6C91" w:rsidRDefault="000A6C91">
      <w:pPr>
        <w:rPr>
          <w:rFonts w:ascii="Arial" w:eastAsia="Calibri" w:hAnsi="Arial" w:cs="Arial"/>
          <w:spacing w:val="-1"/>
          <w:sz w:val="17"/>
          <w:szCs w:val="17"/>
        </w:rPr>
      </w:pPr>
    </w:p>
    <w:p w:rsidR="005C6C27" w:rsidRDefault="005C6C27">
      <w:pPr>
        <w:rPr>
          <w:rFonts w:ascii="Arial" w:eastAsia="Calibri" w:hAnsi="Arial" w:cs="Arial"/>
          <w:spacing w:val="-1"/>
          <w:sz w:val="17"/>
          <w:szCs w:val="17"/>
        </w:rPr>
      </w:pPr>
    </w:p>
    <w:p w:rsidR="006E6D44" w:rsidRDefault="006E6D44" w:rsidP="006E6D4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6E6D44" w:rsidRPr="002D70DA" w:rsidRDefault="006E6D44" w:rsidP="006E6D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Description w:val="monto"/>
      </w:tblPr>
      <w:tblGrid>
        <w:gridCol w:w="4900"/>
        <w:gridCol w:w="2180"/>
      </w:tblGrid>
      <w:tr w:rsidR="00FB2DE1"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B2DE1" w:rsidRPr="002D70DA" w:rsidRDefault="00FB2DE1"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B2DE1"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r>
      <w:tr w:rsidR="005C6C27"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Comisión de Transparencia y Acceso a la</w:t>
            </w:r>
          </w:p>
          <w:p w:rsidR="005C6C27" w:rsidRPr="00560A6D" w:rsidRDefault="005C6C27" w:rsidP="005C6C2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-636,206 </w:t>
            </w:r>
          </w:p>
        </w:tc>
      </w:tr>
      <w:tr w:rsidR="005C6C27"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560A6D" w:rsidRDefault="005C6C27" w:rsidP="005C6C2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-556,063 </w:t>
            </w:r>
          </w:p>
        </w:tc>
      </w:tr>
      <w:tr w:rsidR="005C6C27"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Entidad Superior de Fiscalización del Estado de</w:t>
            </w:r>
          </w:p>
          <w:p w:rsidR="005C6C27" w:rsidRPr="00C34218" w:rsidRDefault="005C6C27" w:rsidP="005C6C2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-2,032,216 </w:t>
            </w:r>
          </w:p>
        </w:tc>
      </w:tr>
      <w:tr w:rsidR="005C6C27"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-62,209,198 </w:t>
            </w:r>
          </w:p>
        </w:tc>
      </w:tr>
      <w:tr w:rsidR="005C6C27"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560A6D" w:rsidRDefault="005C6C27" w:rsidP="005C6C2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-3,066,829 </w:t>
            </w:r>
          </w:p>
        </w:tc>
      </w:tr>
      <w:tr w:rsidR="005C6C27"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-225,556 </w:t>
            </w:r>
          </w:p>
        </w:tc>
      </w:tr>
      <w:tr w:rsidR="005C6C27"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C34218" w:rsidRDefault="005C6C27" w:rsidP="005C6C27">
            <w:pPr>
              <w:ind w:left="497"/>
              <w:rPr>
                <w:rFonts w:ascii="Arial" w:hAnsi="Arial" w:cs="Arial"/>
                <w:sz w:val="17"/>
                <w:szCs w:val="17"/>
              </w:rPr>
            </w:pPr>
            <w:r w:rsidRPr="00C34218">
              <w:rPr>
                <w:rFonts w:ascii="Arial" w:hAnsi="Arial" w:cs="Arial"/>
                <w:sz w:val="17"/>
                <w:szCs w:val="17"/>
              </w:rPr>
              <w:t>Tribunal de Justicia Administrativa del Estado de</w:t>
            </w:r>
          </w:p>
          <w:p w:rsidR="005C6C27" w:rsidRPr="00560A6D" w:rsidRDefault="005C6C27" w:rsidP="005C6C2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-208,413 </w:t>
            </w:r>
          </w:p>
        </w:tc>
      </w:tr>
      <w:tr w:rsidR="005C6C27"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C6C27" w:rsidRPr="00560A6D" w:rsidRDefault="005C6C27" w:rsidP="005C6C2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C6C27" w:rsidRPr="005C6C27" w:rsidRDefault="005C6C27" w:rsidP="005C6C27">
            <w:pPr>
              <w:jc w:val="right"/>
              <w:rPr>
                <w:rFonts w:ascii="Arial" w:hAnsi="Arial" w:cs="Arial"/>
                <w:sz w:val="17"/>
                <w:szCs w:val="17"/>
              </w:rPr>
            </w:pPr>
            <w:r w:rsidRPr="005C6C27">
              <w:rPr>
                <w:rFonts w:ascii="Arial" w:hAnsi="Arial" w:cs="Arial"/>
                <w:sz w:val="17"/>
                <w:szCs w:val="17"/>
              </w:rPr>
              <w:t xml:space="preserve">-534,363 </w:t>
            </w:r>
          </w:p>
        </w:tc>
      </w:tr>
      <w:tr w:rsidR="00FB2DE1" w:rsidRPr="002D70DA" w:rsidTr="00B47560">
        <w:trPr>
          <w:trHeight w:val="240"/>
          <w:jc w:val="center"/>
        </w:trPr>
        <w:tc>
          <w:tcPr>
            <w:tcW w:w="4900" w:type="dxa"/>
            <w:tcBorders>
              <w:top w:val="nil"/>
              <w:left w:val="nil"/>
              <w:bottom w:val="nil"/>
              <w:right w:val="single" w:sz="4" w:space="0" w:color="auto"/>
            </w:tcBorders>
            <w:shd w:val="clear" w:color="000000" w:fill="FFFFFF"/>
            <w:vAlign w:val="center"/>
            <w:hideMark/>
          </w:tcPr>
          <w:p w:rsidR="00FB2DE1" w:rsidRPr="002D70DA" w:rsidRDefault="00FB2DE1" w:rsidP="00FB2DE1">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single" w:sz="4" w:space="0" w:color="auto"/>
            </w:tcBorders>
            <w:shd w:val="clear" w:color="000000" w:fill="FFFFFF"/>
          </w:tcPr>
          <w:p w:rsidR="00FB2DE1" w:rsidRPr="00FB2DE1" w:rsidRDefault="00B47560" w:rsidP="00FB2DE1">
            <w:pPr>
              <w:jc w:val="right"/>
              <w:rPr>
                <w:rFonts w:ascii="Arial" w:hAnsi="Arial" w:cs="Arial"/>
                <w:b/>
                <w:sz w:val="17"/>
                <w:szCs w:val="17"/>
              </w:rPr>
            </w:pPr>
            <w:r w:rsidRPr="00B47560">
              <w:rPr>
                <w:rFonts w:ascii="Arial" w:hAnsi="Arial" w:cs="Arial"/>
                <w:b/>
                <w:sz w:val="17"/>
                <w:szCs w:val="17"/>
              </w:rPr>
              <w:t>-69,468,844</w:t>
            </w:r>
          </w:p>
        </w:tc>
      </w:tr>
    </w:tbl>
    <w:p w:rsidR="00403D2A" w:rsidRDefault="00403D2A">
      <w:pPr>
        <w:rPr>
          <w:rFonts w:ascii="Arial" w:eastAsia="Calibri" w:hAnsi="Arial" w:cs="Arial"/>
          <w:b/>
          <w:spacing w:val="-1"/>
          <w:sz w:val="17"/>
          <w:szCs w:val="17"/>
        </w:rPr>
      </w:pPr>
    </w:p>
    <w:p w:rsidR="00FA7272" w:rsidRPr="002D70DA" w:rsidRDefault="00FA7272" w:rsidP="00FA7272">
      <w:pPr>
        <w:pStyle w:val="Prrafodelista"/>
        <w:numPr>
          <w:ilvl w:val="0"/>
          <w:numId w:val="8"/>
        </w:numPr>
        <w:spacing w:before="80" w:line="250" w:lineRule="exact"/>
        <w:contextualSpacing w:val="0"/>
        <w:jc w:val="both"/>
        <w:rPr>
          <w:rFonts w:ascii="Arial" w:eastAsia="Calibri" w:hAnsi="Arial" w:cs="Arial"/>
          <w:b/>
          <w:spacing w:val="-1"/>
          <w:sz w:val="17"/>
          <w:szCs w:val="17"/>
        </w:rPr>
      </w:pPr>
      <w:r>
        <w:rPr>
          <w:rFonts w:ascii="Arial" w:eastAsia="Calibri" w:hAnsi="Arial" w:cs="Arial"/>
          <w:b/>
          <w:spacing w:val="-1"/>
          <w:sz w:val="17"/>
          <w:szCs w:val="17"/>
        </w:rPr>
        <w:t>Activos Diferidos</w:t>
      </w:r>
    </w:p>
    <w:p w:rsidR="00FA7272" w:rsidRDefault="00FA7272" w:rsidP="00FA7272">
      <w:pPr>
        <w:spacing w:before="80" w:line="250" w:lineRule="exact"/>
        <w:ind w:left="709"/>
        <w:jc w:val="both"/>
        <w:rPr>
          <w:rFonts w:ascii="Arial" w:eastAsia="Calibri" w:hAnsi="Arial" w:cs="Arial"/>
          <w:spacing w:val="-1"/>
          <w:sz w:val="17"/>
          <w:szCs w:val="17"/>
        </w:rPr>
      </w:pPr>
      <w:r w:rsidRPr="007F7800">
        <w:rPr>
          <w:rFonts w:ascii="Arial" w:eastAsia="Calibri" w:hAnsi="Arial" w:cs="Arial"/>
          <w:spacing w:val="-1"/>
          <w:sz w:val="17"/>
          <w:szCs w:val="17"/>
        </w:rPr>
        <w:t xml:space="preserve">Se informa </w:t>
      </w:r>
      <w:r>
        <w:rPr>
          <w:rFonts w:ascii="Arial" w:eastAsia="Calibri" w:hAnsi="Arial" w:cs="Arial"/>
          <w:spacing w:val="-1"/>
          <w:sz w:val="17"/>
          <w:szCs w:val="17"/>
        </w:rPr>
        <w:t xml:space="preserve">el saldo de la cuenta </w:t>
      </w:r>
      <w:r w:rsidRPr="007F7800">
        <w:rPr>
          <w:rFonts w:ascii="Arial" w:eastAsia="Calibri" w:hAnsi="Arial" w:cs="Arial"/>
          <w:spacing w:val="-1"/>
          <w:sz w:val="17"/>
          <w:szCs w:val="17"/>
        </w:rPr>
        <w:t xml:space="preserve">de </w:t>
      </w:r>
      <w:r>
        <w:rPr>
          <w:rFonts w:ascii="Arial" w:eastAsia="Calibri" w:hAnsi="Arial" w:cs="Arial"/>
          <w:spacing w:val="-1"/>
          <w:sz w:val="17"/>
          <w:szCs w:val="17"/>
        </w:rPr>
        <w:t>Activos Diferidos</w:t>
      </w:r>
      <w:r w:rsidRPr="007F7800">
        <w:rPr>
          <w:rFonts w:ascii="Arial" w:eastAsia="Calibri" w:hAnsi="Arial" w:cs="Arial"/>
          <w:spacing w:val="-1"/>
          <w:sz w:val="17"/>
          <w:szCs w:val="17"/>
        </w:rPr>
        <w:t xml:space="preserve">, al 31 de diciembre del </w:t>
      </w:r>
      <w:r w:rsidR="009831D5">
        <w:rPr>
          <w:rFonts w:ascii="Arial" w:eastAsia="Calibri" w:hAnsi="Arial" w:cs="Arial"/>
          <w:spacing w:val="-1"/>
          <w:sz w:val="17"/>
          <w:szCs w:val="17"/>
        </w:rPr>
        <w:t>2019</w:t>
      </w:r>
      <w:r>
        <w:rPr>
          <w:rFonts w:ascii="Arial" w:eastAsia="Calibri" w:hAnsi="Arial" w:cs="Arial"/>
          <w:spacing w:val="-1"/>
          <w:sz w:val="17"/>
          <w:szCs w:val="17"/>
        </w:rPr>
        <w:t>:</w:t>
      </w:r>
    </w:p>
    <w:p w:rsidR="00FA7272" w:rsidRPr="00785016" w:rsidRDefault="00FA7272" w:rsidP="00FA7272">
      <w:pPr>
        <w:autoSpaceDE w:val="0"/>
        <w:autoSpaceDN w:val="0"/>
        <w:adjustRightInd w:val="0"/>
        <w:spacing w:before="240" w:after="120"/>
        <w:ind w:left="360"/>
        <w:jc w:val="center"/>
        <w:rPr>
          <w:rFonts w:ascii="Arial" w:eastAsia="Calibri" w:hAnsi="Arial" w:cs="Arial"/>
          <w:b/>
          <w:spacing w:val="-1"/>
          <w:sz w:val="17"/>
          <w:szCs w:val="17"/>
        </w:rPr>
      </w:pPr>
      <w:r w:rsidRPr="00785016">
        <w:rPr>
          <w:rFonts w:ascii="Arial" w:eastAsia="Calibri" w:hAnsi="Arial" w:cs="Arial"/>
          <w:b/>
          <w:spacing w:val="-1"/>
          <w:sz w:val="17"/>
          <w:szCs w:val="17"/>
        </w:rPr>
        <w:t>(Pesos)</w:t>
      </w:r>
    </w:p>
    <w:tbl>
      <w:tblPr>
        <w:tblW w:w="9270" w:type="dxa"/>
        <w:jc w:val="center"/>
        <w:tblCellMar>
          <w:left w:w="70" w:type="dxa"/>
          <w:right w:w="70" w:type="dxa"/>
        </w:tblCellMar>
        <w:tblLook w:val="04A0" w:firstRow="1" w:lastRow="0" w:firstColumn="1" w:lastColumn="0" w:noHBand="0" w:noVBand="1"/>
        <w:tblDescription w:val="monto"/>
      </w:tblPr>
      <w:tblGrid>
        <w:gridCol w:w="4901"/>
        <w:gridCol w:w="2180"/>
        <w:gridCol w:w="2179"/>
        <w:gridCol w:w="10"/>
      </w:tblGrid>
      <w:tr w:rsidR="00FA7272" w:rsidRPr="002D70DA" w:rsidTr="00B47560">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Concepto</w:t>
            </w:r>
            <w:r w:rsidRPr="002D70DA">
              <w:rPr>
                <w:rFonts w:ascii="Arial" w:hAnsi="Arial" w:cs="Arial"/>
                <w:b/>
                <w:bCs/>
                <w:color w:val="000000"/>
                <w:sz w:val="17"/>
                <w:szCs w:val="17"/>
              </w:rPr>
              <w:t>:</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9" w:type="dxa"/>
            <w:gridSpan w:val="2"/>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B47560" w:rsidRPr="002D70DA" w:rsidTr="00B47560">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B47560" w:rsidRPr="00FA7272" w:rsidRDefault="00B47560" w:rsidP="00B47560">
            <w:pPr>
              <w:rPr>
                <w:rFonts w:ascii="Arial" w:hAnsi="Arial" w:cs="Arial"/>
                <w:sz w:val="17"/>
                <w:szCs w:val="17"/>
              </w:rPr>
            </w:pPr>
            <w:r w:rsidRPr="00FA7272">
              <w:rPr>
                <w:rFonts w:ascii="Arial" w:hAnsi="Arial" w:cs="Arial"/>
                <w:sz w:val="17"/>
                <w:szCs w:val="17"/>
              </w:rPr>
              <w:t>Estudios, Formulación y Evaluación de Proyectos</w:t>
            </w:r>
          </w:p>
        </w:tc>
        <w:tc>
          <w:tcPr>
            <w:tcW w:w="2180" w:type="dxa"/>
            <w:tcBorders>
              <w:top w:val="single" w:sz="4" w:space="0" w:color="auto"/>
              <w:left w:val="nil"/>
              <w:bottom w:val="single" w:sz="4" w:space="0" w:color="auto"/>
              <w:right w:val="single" w:sz="4" w:space="0" w:color="auto"/>
            </w:tcBorders>
            <w:shd w:val="clear" w:color="auto" w:fill="auto"/>
          </w:tcPr>
          <w:p w:rsidR="00B47560" w:rsidRPr="00B47560" w:rsidRDefault="00B47560" w:rsidP="00B47560">
            <w:pPr>
              <w:jc w:val="right"/>
              <w:rPr>
                <w:rFonts w:ascii="Arial" w:hAnsi="Arial" w:cs="Arial"/>
                <w:sz w:val="17"/>
                <w:szCs w:val="17"/>
              </w:rPr>
            </w:pPr>
            <w:r w:rsidRPr="00B47560">
              <w:rPr>
                <w:rFonts w:ascii="Arial" w:hAnsi="Arial" w:cs="Arial"/>
                <w:sz w:val="17"/>
                <w:szCs w:val="17"/>
              </w:rPr>
              <w:t xml:space="preserve"> 40,171 </w:t>
            </w:r>
          </w:p>
        </w:tc>
        <w:tc>
          <w:tcPr>
            <w:tcW w:w="2189" w:type="dxa"/>
            <w:gridSpan w:val="2"/>
            <w:tcBorders>
              <w:top w:val="single" w:sz="4" w:space="0" w:color="auto"/>
              <w:left w:val="nil"/>
              <w:bottom w:val="single" w:sz="4" w:space="0" w:color="auto"/>
              <w:right w:val="single" w:sz="4" w:space="0" w:color="auto"/>
            </w:tcBorders>
            <w:shd w:val="clear" w:color="auto" w:fill="auto"/>
          </w:tcPr>
          <w:p w:rsidR="00B47560" w:rsidRPr="00B47560" w:rsidRDefault="00B47560" w:rsidP="00B47560">
            <w:pPr>
              <w:jc w:val="right"/>
              <w:rPr>
                <w:rFonts w:ascii="Arial" w:hAnsi="Arial" w:cs="Arial"/>
                <w:sz w:val="17"/>
                <w:szCs w:val="17"/>
              </w:rPr>
            </w:pPr>
            <w:r w:rsidRPr="00B47560">
              <w:rPr>
                <w:rFonts w:ascii="Arial" w:hAnsi="Arial" w:cs="Arial"/>
                <w:sz w:val="17"/>
                <w:szCs w:val="17"/>
              </w:rPr>
              <w:t xml:space="preserve"> 40,171 </w:t>
            </w:r>
          </w:p>
        </w:tc>
      </w:tr>
      <w:tr w:rsidR="00B47560" w:rsidRPr="002D70DA" w:rsidTr="00B47560">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B47560" w:rsidRPr="00FA7272" w:rsidRDefault="00B47560" w:rsidP="00B47560">
            <w:pPr>
              <w:rPr>
                <w:rFonts w:ascii="Arial" w:hAnsi="Arial" w:cs="Arial"/>
                <w:sz w:val="17"/>
                <w:szCs w:val="17"/>
              </w:rPr>
            </w:pPr>
            <w:r w:rsidRPr="00FA7272">
              <w:rPr>
                <w:rFonts w:ascii="Arial" w:hAnsi="Arial" w:cs="Arial"/>
                <w:sz w:val="17"/>
                <w:szCs w:val="17"/>
              </w:rPr>
              <w:t>Anticipos a Largo Plazo</w:t>
            </w:r>
          </w:p>
        </w:tc>
        <w:tc>
          <w:tcPr>
            <w:tcW w:w="2180" w:type="dxa"/>
            <w:tcBorders>
              <w:top w:val="single" w:sz="4" w:space="0" w:color="auto"/>
              <w:left w:val="nil"/>
              <w:bottom w:val="single" w:sz="4" w:space="0" w:color="auto"/>
              <w:right w:val="single" w:sz="4" w:space="0" w:color="auto"/>
            </w:tcBorders>
            <w:shd w:val="clear" w:color="auto" w:fill="auto"/>
          </w:tcPr>
          <w:p w:rsidR="00B47560" w:rsidRPr="00B47560" w:rsidRDefault="00B47560" w:rsidP="00B47560">
            <w:pPr>
              <w:jc w:val="right"/>
              <w:rPr>
                <w:rFonts w:ascii="Arial" w:hAnsi="Arial" w:cs="Arial"/>
                <w:sz w:val="17"/>
                <w:szCs w:val="17"/>
              </w:rPr>
            </w:pPr>
            <w:r w:rsidRPr="00B47560">
              <w:rPr>
                <w:rFonts w:ascii="Arial" w:hAnsi="Arial" w:cs="Arial"/>
                <w:sz w:val="17"/>
                <w:szCs w:val="17"/>
              </w:rPr>
              <w:t xml:space="preserve">-9,000 </w:t>
            </w:r>
          </w:p>
        </w:tc>
        <w:tc>
          <w:tcPr>
            <w:tcW w:w="2189" w:type="dxa"/>
            <w:gridSpan w:val="2"/>
            <w:tcBorders>
              <w:top w:val="single" w:sz="4" w:space="0" w:color="auto"/>
              <w:left w:val="nil"/>
              <w:bottom w:val="single" w:sz="4" w:space="0" w:color="auto"/>
              <w:right w:val="single" w:sz="4" w:space="0" w:color="auto"/>
            </w:tcBorders>
            <w:shd w:val="clear" w:color="auto" w:fill="auto"/>
          </w:tcPr>
          <w:p w:rsidR="00B47560" w:rsidRPr="00B47560" w:rsidRDefault="00B47560" w:rsidP="00B47560">
            <w:pPr>
              <w:jc w:val="right"/>
              <w:rPr>
                <w:rFonts w:ascii="Arial" w:hAnsi="Arial" w:cs="Arial"/>
                <w:sz w:val="17"/>
                <w:szCs w:val="17"/>
              </w:rPr>
            </w:pPr>
            <w:r w:rsidRPr="00B47560">
              <w:rPr>
                <w:rFonts w:ascii="Arial" w:hAnsi="Arial" w:cs="Arial"/>
                <w:sz w:val="17"/>
                <w:szCs w:val="17"/>
              </w:rPr>
              <w:t xml:space="preserve">-9,000 </w:t>
            </w:r>
          </w:p>
        </w:tc>
      </w:tr>
      <w:tr w:rsidR="00B47560" w:rsidRPr="002D70DA" w:rsidTr="00B47560">
        <w:trPr>
          <w:trHeight w:val="240"/>
          <w:jc w:val="center"/>
        </w:trPr>
        <w:tc>
          <w:tcPr>
            <w:tcW w:w="4901" w:type="dxa"/>
            <w:tcBorders>
              <w:top w:val="single" w:sz="4" w:space="0" w:color="auto"/>
              <w:left w:val="single" w:sz="4" w:space="0" w:color="auto"/>
              <w:bottom w:val="single" w:sz="4" w:space="0" w:color="auto"/>
              <w:right w:val="single" w:sz="4" w:space="0" w:color="auto"/>
            </w:tcBorders>
            <w:shd w:val="clear" w:color="auto" w:fill="auto"/>
          </w:tcPr>
          <w:p w:rsidR="00B47560" w:rsidRPr="00FA7272" w:rsidRDefault="00B47560" w:rsidP="00B47560">
            <w:pPr>
              <w:rPr>
                <w:rFonts w:ascii="Arial" w:hAnsi="Arial" w:cs="Arial"/>
                <w:sz w:val="17"/>
                <w:szCs w:val="17"/>
              </w:rPr>
            </w:pPr>
            <w:r w:rsidRPr="00FA7272">
              <w:rPr>
                <w:rFonts w:ascii="Arial" w:hAnsi="Arial" w:cs="Arial"/>
                <w:sz w:val="17"/>
                <w:szCs w:val="17"/>
              </w:rPr>
              <w:t>Otros Activos Diferidos</w:t>
            </w:r>
          </w:p>
        </w:tc>
        <w:tc>
          <w:tcPr>
            <w:tcW w:w="2180" w:type="dxa"/>
            <w:tcBorders>
              <w:top w:val="single" w:sz="4" w:space="0" w:color="auto"/>
              <w:left w:val="nil"/>
              <w:bottom w:val="single" w:sz="4" w:space="0" w:color="auto"/>
              <w:right w:val="single" w:sz="4" w:space="0" w:color="auto"/>
            </w:tcBorders>
            <w:shd w:val="clear" w:color="auto" w:fill="auto"/>
          </w:tcPr>
          <w:p w:rsidR="00B47560" w:rsidRPr="00B47560" w:rsidRDefault="00B47560" w:rsidP="00B47560">
            <w:pPr>
              <w:jc w:val="right"/>
              <w:rPr>
                <w:rFonts w:ascii="Arial" w:hAnsi="Arial" w:cs="Arial"/>
                <w:sz w:val="17"/>
                <w:szCs w:val="17"/>
              </w:rPr>
            </w:pPr>
            <w:r w:rsidRPr="00B47560">
              <w:rPr>
                <w:rFonts w:ascii="Arial" w:hAnsi="Arial" w:cs="Arial"/>
                <w:sz w:val="17"/>
                <w:szCs w:val="17"/>
              </w:rPr>
              <w:t xml:space="preserve">-286 </w:t>
            </w:r>
          </w:p>
        </w:tc>
        <w:tc>
          <w:tcPr>
            <w:tcW w:w="2189" w:type="dxa"/>
            <w:gridSpan w:val="2"/>
            <w:tcBorders>
              <w:top w:val="single" w:sz="4" w:space="0" w:color="auto"/>
              <w:left w:val="nil"/>
              <w:bottom w:val="single" w:sz="4" w:space="0" w:color="auto"/>
              <w:right w:val="single" w:sz="4" w:space="0" w:color="auto"/>
            </w:tcBorders>
            <w:shd w:val="clear" w:color="auto" w:fill="auto"/>
          </w:tcPr>
          <w:p w:rsidR="00B47560" w:rsidRPr="00B47560" w:rsidRDefault="00B47560" w:rsidP="00B47560">
            <w:pPr>
              <w:jc w:val="right"/>
              <w:rPr>
                <w:rFonts w:ascii="Arial" w:hAnsi="Arial" w:cs="Arial"/>
                <w:sz w:val="17"/>
                <w:szCs w:val="17"/>
              </w:rPr>
            </w:pPr>
            <w:r w:rsidRPr="00B47560">
              <w:rPr>
                <w:rFonts w:ascii="Arial" w:hAnsi="Arial" w:cs="Arial"/>
                <w:sz w:val="17"/>
                <w:szCs w:val="17"/>
              </w:rPr>
              <w:t xml:space="preserve"> -   </w:t>
            </w:r>
          </w:p>
        </w:tc>
      </w:tr>
      <w:tr w:rsidR="00B47560" w:rsidRPr="002D70DA" w:rsidTr="00B47560">
        <w:trPr>
          <w:gridAfter w:val="1"/>
          <w:wAfter w:w="10" w:type="dxa"/>
          <w:trHeight w:val="240"/>
          <w:jc w:val="center"/>
        </w:trPr>
        <w:tc>
          <w:tcPr>
            <w:tcW w:w="4901" w:type="dxa"/>
            <w:tcBorders>
              <w:top w:val="nil"/>
              <w:left w:val="nil"/>
              <w:bottom w:val="nil"/>
              <w:right w:val="single" w:sz="4" w:space="0" w:color="auto"/>
            </w:tcBorders>
            <w:shd w:val="clear" w:color="000000" w:fill="FFFFFF"/>
            <w:vAlign w:val="center"/>
            <w:hideMark/>
          </w:tcPr>
          <w:p w:rsidR="00B47560" w:rsidRPr="002D70DA" w:rsidRDefault="00B47560" w:rsidP="00B47560">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47560" w:rsidRPr="00B47560" w:rsidRDefault="00B47560" w:rsidP="00B47560">
            <w:pPr>
              <w:jc w:val="right"/>
              <w:rPr>
                <w:rFonts w:ascii="Arial" w:hAnsi="Arial" w:cs="Arial"/>
                <w:b/>
                <w:sz w:val="17"/>
                <w:szCs w:val="17"/>
              </w:rPr>
            </w:pPr>
            <w:r w:rsidRPr="00B47560">
              <w:rPr>
                <w:rFonts w:ascii="Arial" w:hAnsi="Arial" w:cs="Arial"/>
                <w:b/>
                <w:sz w:val="17"/>
                <w:szCs w:val="17"/>
              </w:rPr>
              <w:t xml:space="preserve"> 30,885 </w:t>
            </w:r>
          </w:p>
        </w:tc>
        <w:tc>
          <w:tcPr>
            <w:tcW w:w="2179" w:type="dxa"/>
            <w:tcBorders>
              <w:top w:val="nil"/>
              <w:left w:val="single" w:sz="4" w:space="0" w:color="auto"/>
              <w:bottom w:val="single" w:sz="4" w:space="0" w:color="auto"/>
              <w:right w:val="single" w:sz="4" w:space="0" w:color="auto"/>
            </w:tcBorders>
            <w:shd w:val="clear" w:color="000000" w:fill="FFFFFF"/>
          </w:tcPr>
          <w:p w:rsidR="00B47560" w:rsidRPr="00B47560" w:rsidRDefault="00B47560" w:rsidP="00B47560">
            <w:pPr>
              <w:jc w:val="right"/>
              <w:rPr>
                <w:rFonts w:ascii="Arial" w:hAnsi="Arial" w:cs="Arial"/>
                <w:b/>
                <w:sz w:val="17"/>
                <w:szCs w:val="17"/>
              </w:rPr>
            </w:pPr>
            <w:r w:rsidRPr="00B47560">
              <w:rPr>
                <w:rFonts w:ascii="Arial" w:hAnsi="Arial" w:cs="Arial"/>
                <w:b/>
                <w:sz w:val="17"/>
                <w:szCs w:val="17"/>
              </w:rPr>
              <w:t xml:space="preserve"> 31,171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3708EA">
      <w:pPr>
        <w:rPr>
          <w:rFonts w:ascii="Arial" w:eastAsia="Calibri" w:hAnsi="Arial" w:cs="Arial"/>
          <w:spacing w:val="-1"/>
          <w:sz w:val="17"/>
          <w:szCs w:val="17"/>
        </w:rPr>
      </w:pPr>
      <w:r>
        <w:rPr>
          <w:rFonts w:ascii="Arial" w:eastAsia="Calibri" w:hAnsi="Arial" w:cs="Arial"/>
          <w:spacing w:val="-1"/>
          <w:sz w:val="17"/>
          <w:szCs w:val="17"/>
        </w:rPr>
        <w:lastRenderedPageBreak/>
        <w:t>El cual está distribuido de la siguiente manera:</w:t>
      </w:r>
    </w:p>
    <w:p w:rsidR="00FA7272" w:rsidRPr="002D70DA" w:rsidRDefault="00FA7272" w:rsidP="00FA727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 (Pesos)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FA7272"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A7272" w:rsidRPr="002D70DA" w:rsidRDefault="00FA727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FA727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C2770F"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770F" w:rsidRPr="00C34218" w:rsidRDefault="00C2770F" w:rsidP="00C2770F">
            <w:pPr>
              <w:ind w:left="497"/>
              <w:rPr>
                <w:rFonts w:ascii="Arial" w:hAnsi="Arial" w:cs="Arial"/>
                <w:sz w:val="17"/>
                <w:szCs w:val="17"/>
              </w:rPr>
            </w:pPr>
            <w:r w:rsidRPr="00C34218">
              <w:rPr>
                <w:rFonts w:ascii="Arial" w:hAnsi="Arial" w:cs="Arial"/>
                <w:sz w:val="17"/>
                <w:szCs w:val="17"/>
              </w:rPr>
              <w:t>Comisión de Transparencia y Acceso a la</w:t>
            </w:r>
          </w:p>
          <w:p w:rsidR="00C2770F" w:rsidRPr="00560A6D" w:rsidRDefault="00C2770F" w:rsidP="00C2770F">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18,000 </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18,000 </w:t>
            </w:r>
          </w:p>
        </w:tc>
      </w:tr>
      <w:tr w:rsidR="00C2770F" w:rsidRPr="002D70DA" w:rsidTr="00B475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C2770F" w:rsidRPr="00560A6D" w:rsidRDefault="00C2770F" w:rsidP="00C2770F">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12,885 </w:t>
            </w:r>
          </w:p>
        </w:tc>
        <w:tc>
          <w:tcPr>
            <w:tcW w:w="2180" w:type="dxa"/>
            <w:tcBorders>
              <w:top w:val="single" w:sz="4" w:space="0" w:color="auto"/>
              <w:left w:val="nil"/>
              <w:bottom w:val="single" w:sz="4" w:space="0" w:color="auto"/>
              <w:right w:val="single" w:sz="4" w:space="0" w:color="auto"/>
            </w:tcBorders>
            <w:shd w:val="clear" w:color="auto" w:fill="auto"/>
          </w:tcPr>
          <w:p w:rsidR="00C2770F" w:rsidRPr="00C2770F" w:rsidRDefault="00C2770F" w:rsidP="00C2770F">
            <w:pPr>
              <w:jc w:val="right"/>
              <w:rPr>
                <w:rFonts w:ascii="Arial" w:hAnsi="Arial" w:cs="Arial"/>
                <w:sz w:val="17"/>
                <w:szCs w:val="17"/>
              </w:rPr>
            </w:pPr>
            <w:r w:rsidRPr="00C2770F">
              <w:rPr>
                <w:rFonts w:ascii="Arial" w:hAnsi="Arial" w:cs="Arial"/>
                <w:sz w:val="17"/>
                <w:szCs w:val="17"/>
              </w:rPr>
              <w:t xml:space="preserve">13,171 </w:t>
            </w:r>
          </w:p>
        </w:tc>
      </w:tr>
      <w:tr w:rsidR="00C2770F" w:rsidRPr="002D70DA" w:rsidTr="00B47560">
        <w:trPr>
          <w:trHeight w:val="240"/>
          <w:jc w:val="center"/>
        </w:trPr>
        <w:tc>
          <w:tcPr>
            <w:tcW w:w="4900" w:type="dxa"/>
            <w:tcBorders>
              <w:top w:val="nil"/>
              <w:left w:val="nil"/>
              <w:bottom w:val="nil"/>
              <w:right w:val="single" w:sz="4" w:space="0" w:color="auto"/>
            </w:tcBorders>
            <w:shd w:val="clear" w:color="000000" w:fill="FFFFFF"/>
            <w:vAlign w:val="center"/>
            <w:hideMark/>
          </w:tcPr>
          <w:p w:rsidR="00C2770F" w:rsidRPr="002D70DA" w:rsidRDefault="00C2770F" w:rsidP="00C2770F">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C2770F" w:rsidRPr="00C2770F" w:rsidRDefault="00C2770F" w:rsidP="00C2770F">
            <w:pPr>
              <w:jc w:val="right"/>
              <w:rPr>
                <w:rFonts w:ascii="Arial" w:hAnsi="Arial" w:cs="Arial"/>
                <w:b/>
                <w:sz w:val="17"/>
                <w:szCs w:val="17"/>
              </w:rPr>
            </w:pPr>
            <w:r w:rsidRPr="00C2770F">
              <w:rPr>
                <w:rFonts w:ascii="Arial" w:hAnsi="Arial" w:cs="Arial"/>
                <w:b/>
                <w:sz w:val="17"/>
                <w:szCs w:val="17"/>
              </w:rPr>
              <w:t xml:space="preserve">30,885 </w:t>
            </w:r>
          </w:p>
        </w:tc>
        <w:tc>
          <w:tcPr>
            <w:tcW w:w="2180" w:type="dxa"/>
            <w:tcBorders>
              <w:top w:val="nil"/>
              <w:left w:val="single" w:sz="4" w:space="0" w:color="auto"/>
              <w:bottom w:val="single" w:sz="4" w:space="0" w:color="auto"/>
              <w:right w:val="single" w:sz="4" w:space="0" w:color="auto"/>
            </w:tcBorders>
            <w:shd w:val="clear" w:color="000000" w:fill="FFFFFF"/>
          </w:tcPr>
          <w:p w:rsidR="00C2770F" w:rsidRPr="00C2770F" w:rsidRDefault="00C2770F" w:rsidP="00C2770F">
            <w:pPr>
              <w:jc w:val="right"/>
              <w:rPr>
                <w:rFonts w:ascii="Arial" w:hAnsi="Arial" w:cs="Arial"/>
                <w:b/>
                <w:sz w:val="17"/>
                <w:szCs w:val="17"/>
              </w:rPr>
            </w:pPr>
            <w:r w:rsidRPr="00C2770F">
              <w:rPr>
                <w:rFonts w:ascii="Arial" w:hAnsi="Arial" w:cs="Arial"/>
                <w:b/>
                <w:sz w:val="17"/>
                <w:szCs w:val="17"/>
              </w:rPr>
              <w:t xml:space="preserve">31,171 </w:t>
            </w:r>
          </w:p>
        </w:tc>
      </w:tr>
    </w:tbl>
    <w:p w:rsidR="00FA7272" w:rsidRDefault="00FA7272" w:rsidP="00FA7272">
      <w:pPr>
        <w:spacing w:before="80" w:line="250" w:lineRule="exact"/>
        <w:ind w:left="709"/>
        <w:jc w:val="both"/>
        <w:rPr>
          <w:rFonts w:ascii="Arial" w:eastAsia="Calibri" w:hAnsi="Arial" w:cs="Arial"/>
          <w:spacing w:val="-1"/>
          <w:sz w:val="17"/>
          <w:szCs w:val="17"/>
        </w:rPr>
      </w:pPr>
    </w:p>
    <w:p w:rsidR="00FA7272" w:rsidRDefault="00FA7272" w:rsidP="009B6079">
      <w:pPr>
        <w:spacing w:before="80" w:line="250" w:lineRule="exact"/>
        <w:ind w:left="709"/>
        <w:jc w:val="both"/>
        <w:rPr>
          <w:rFonts w:ascii="Arial" w:eastAsia="Calibri" w:hAnsi="Arial" w:cs="Arial"/>
          <w:spacing w:val="-1"/>
          <w:sz w:val="17"/>
          <w:szCs w:val="17"/>
        </w:rPr>
      </w:pPr>
    </w:p>
    <w:p w:rsidR="00A16CA6" w:rsidRDefault="00A16CA6">
      <w:pPr>
        <w:rPr>
          <w:rFonts w:ascii="Arial" w:eastAsia="Calibri" w:hAnsi="Arial" w:cs="Arial"/>
          <w:spacing w:val="-1"/>
          <w:sz w:val="17"/>
          <w:szCs w:val="17"/>
        </w:rPr>
      </w:pPr>
      <w:r>
        <w:rPr>
          <w:rFonts w:ascii="Arial" w:eastAsia="Calibri" w:hAnsi="Arial" w:cs="Arial"/>
          <w:spacing w:val="-1"/>
          <w:sz w:val="17"/>
          <w:szCs w:val="17"/>
        </w:rPr>
        <w:br w:type="page"/>
      </w:r>
    </w:p>
    <w:p w:rsidR="001749D4" w:rsidRPr="002D70DA" w:rsidRDefault="001749D4" w:rsidP="001749D4">
      <w:pPr>
        <w:autoSpaceDE w:val="0"/>
        <w:autoSpaceDN w:val="0"/>
        <w:adjustRightInd w:val="0"/>
        <w:spacing w:before="240" w:after="120"/>
        <w:jc w:val="both"/>
        <w:rPr>
          <w:rFonts w:ascii="Arial" w:hAnsi="Arial" w:cs="Arial"/>
          <w:b/>
          <w:sz w:val="17"/>
          <w:szCs w:val="17"/>
        </w:rPr>
      </w:pPr>
      <w:r w:rsidRPr="007330ED">
        <w:rPr>
          <w:rFonts w:ascii="Arial" w:hAnsi="Arial" w:cs="Arial"/>
          <w:b/>
          <w:sz w:val="17"/>
          <w:szCs w:val="17"/>
        </w:rPr>
        <w:lastRenderedPageBreak/>
        <w:t>Pasivo</w:t>
      </w:r>
      <w:r w:rsidR="000008C2" w:rsidRPr="007330ED">
        <w:rPr>
          <w:rStyle w:val="Refdenotaalpie"/>
          <w:rFonts w:ascii="Arial" w:hAnsi="Arial" w:cs="Arial"/>
          <w:b/>
          <w:sz w:val="17"/>
          <w:szCs w:val="17"/>
        </w:rPr>
        <w:footnoteReference w:id="1"/>
      </w:r>
    </w:p>
    <w:p w:rsidR="001A0060" w:rsidRPr="008918A4" w:rsidRDefault="001A0060" w:rsidP="006C17A5">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Se informa de manera agrupada por cuenta</w:t>
      </w:r>
      <w:r w:rsidR="00A05A53">
        <w:rPr>
          <w:rFonts w:ascii="Arial" w:eastAsia="Calibri" w:hAnsi="Arial" w:cs="Arial"/>
          <w:spacing w:val="-1"/>
          <w:sz w:val="17"/>
          <w:szCs w:val="17"/>
        </w:rPr>
        <w:t xml:space="preserve"> </w:t>
      </w:r>
      <w:r w:rsidR="00A05A53" w:rsidRPr="008918A4">
        <w:rPr>
          <w:rFonts w:ascii="Arial" w:eastAsia="Calibri" w:hAnsi="Arial" w:cs="Arial"/>
          <w:spacing w:val="-1"/>
          <w:sz w:val="17"/>
          <w:szCs w:val="17"/>
        </w:rPr>
        <w:t xml:space="preserve">el monto al 31 de diciembre del </w:t>
      </w:r>
      <w:r w:rsidR="009831D5">
        <w:rPr>
          <w:rFonts w:ascii="Arial" w:eastAsia="Calibri" w:hAnsi="Arial" w:cs="Arial"/>
          <w:spacing w:val="-1"/>
          <w:sz w:val="17"/>
          <w:szCs w:val="17"/>
        </w:rPr>
        <w:t>2019</w:t>
      </w:r>
      <w:r w:rsidR="00A05A53">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rubro de </w:t>
      </w:r>
      <w:r w:rsidR="00A05A53" w:rsidRPr="00A05A53">
        <w:rPr>
          <w:rFonts w:ascii="Arial" w:eastAsia="Calibri" w:hAnsi="Arial" w:cs="Arial"/>
          <w:spacing w:val="-1"/>
          <w:sz w:val="17"/>
          <w:szCs w:val="17"/>
        </w:rPr>
        <w:t>Cuentas por Pagar a Corto Plazo</w:t>
      </w:r>
      <w:r w:rsidR="00A05A53">
        <w:rPr>
          <w:rFonts w:ascii="Arial" w:eastAsia="Calibri" w:hAnsi="Arial" w:cs="Arial"/>
          <w:spacing w:val="-1"/>
          <w:sz w:val="17"/>
          <w:szCs w:val="17"/>
        </w:rPr>
        <w:t>:</w:t>
      </w:r>
    </w:p>
    <w:p w:rsidR="001A0060" w:rsidRPr="005540CE" w:rsidRDefault="001A0060" w:rsidP="001A0060">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1A0060" w:rsidRPr="002D70DA" w:rsidTr="00795BA6">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1A0060" w:rsidP="001A006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A0060" w:rsidRPr="002D70DA" w:rsidRDefault="009831D5" w:rsidP="001A0060">
            <w:pPr>
              <w:jc w:val="center"/>
              <w:rPr>
                <w:rFonts w:ascii="Arial" w:hAnsi="Arial" w:cs="Arial"/>
                <w:b/>
                <w:bCs/>
                <w:color w:val="000000"/>
                <w:sz w:val="17"/>
                <w:szCs w:val="17"/>
              </w:rPr>
            </w:pPr>
            <w:r>
              <w:rPr>
                <w:rFonts w:ascii="Arial" w:hAnsi="Arial" w:cs="Arial"/>
                <w:b/>
                <w:bCs/>
                <w:color w:val="000000"/>
                <w:sz w:val="17"/>
                <w:szCs w:val="17"/>
              </w:rPr>
              <w:t>2018</w:t>
            </w:r>
          </w:p>
        </w:tc>
      </w:tr>
      <w:tr w:rsidR="00795BA6" w:rsidRPr="002D70DA" w:rsidTr="00795BA6">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795BA6" w:rsidRPr="0030750A" w:rsidRDefault="00795BA6" w:rsidP="00795BA6">
            <w:pPr>
              <w:rPr>
                <w:rFonts w:ascii="Arial" w:hAnsi="Arial" w:cs="Arial"/>
                <w:sz w:val="17"/>
                <w:szCs w:val="17"/>
              </w:rPr>
            </w:pPr>
            <w:r w:rsidRPr="0030750A">
              <w:rPr>
                <w:rFonts w:ascii="Arial" w:hAnsi="Arial" w:cs="Arial"/>
                <w:sz w:val="17"/>
                <w:szCs w:val="17"/>
              </w:rPr>
              <w:t>Servicios Personales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3,118,080 </w:t>
            </w:r>
          </w:p>
        </w:tc>
        <w:tc>
          <w:tcPr>
            <w:tcW w:w="2148" w:type="dxa"/>
            <w:tcBorders>
              <w:top w:val="nil"/>
              <w:left w:val="single" w:sz="4" w:space="0" w:color="auto"/>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2,278,406 </w:t>
            </w:r>
          </w:p>
        </w:tc>
      </w:tr>
      <w:tr w:rsidR="00795BA6" w:rsidRPr="002D70DA" w:rsidTr="00795BA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95BA6" w:rsidRPr="0030750A" w:rsidRDefault="00795BA6" w:rsidP="00795BA6">
            <w:pPr>
              <w:rPr>
                <w:rFonts w:ascii="Arial" w:hAnsi="Arial" w:cs="Arial"/>
                <w:sz w:val="17"/>
                <w:szCs w:val="17"/>
              </w:rPr>
            </w:pPr>
            <w:r w:rsidRPr="0030750A">
              <w:rPr>
                <w:rFonts w:ascii="Arial" w:hAnsi="Arial" w:cs="Arial"/>
                <w:sz w:val="17"/>
                <w:szCs w:val="17"/>
              </w:rPr>
              <w:t>Proveedores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6,741,297 </w:t>
            </w:r>
          </w:p>
        </w:tc>
        <w:tc>
          <w:tcPr>
            <w:tcW w:w="2148" w:type="dxa"/>
            <w:tcBorders>
              <w:top w:val="nil"/>
              <w:left w:val="single" w:sz="4" w:space="0" w:color="auto"/>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2,484,623 </w:t>
            </w:r>
          </w:p>
        </w:tc>
      </w:tr>
      <w:tr w:rsidR="00795BA6" w:rsidRPr="002D70DA" w:rsidTr="00795BA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95BA6" w:rsidRPr="0030750A" w:rsidRDefault="00795BA6" w:rsidP="00795BA6">
            <w:pPr>
              <w:rPr>
                <w:rFonts w:ascii="Arial" w:hAnsi="Arial" w:cs="Arial"/>
                <w:sz w:val="17"/>
                <w:szCs w:val="17"/>
              </w:rPr>
            </w:pPr>
            <w:r w:rsidRPr="0030750A">
              <w:rPr>
                <w:rFonts w:ascii="Arial" w:hAnsi="Arial" w:cs="Arial"/>
                <w:sz w:val="17"/>
                <w:szCs w:val="17"/>
              </w:rPr>
              <w:t>Transferencias Otorgadas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714,410 </w:t>
            </w:r>
          </w:p>
        </w:tc>
        <w:tc>
          <w:tcPr>
            <w:tcW w:w="2148" w:type="dxa"/>
            <w:tcBorders>
              <w:top w:val="nil"/>
              <w:left w:val="single" w:sz="4" w:space="0" w:color="auto"/>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-32,721 </w:t>
            </w:r>
          </w:p>
        </w:tc>
      </w:tr>
      <w:tr w:rsidR="00795BA6" w:rsidRPr="002D70DA" w:rsidTr="00795BA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95BA6" w:rsidRPr="0030750A" w:rsidRDefault="00795BA6" w:rsidP="00795BA6">
            <w:pPr>
              <w:rPr>
                <w:rFonts w:ascii="Arial" w:hAnsi="Arial" w:cs="Arial"/>
                <w:sz w:val="17"/>
                <w:szCs w:val="17"/>
              </w:rPr>
            </w:pPr>
            <w:r w:rsidRPr="0030750A">
              <w:rPr>
                <w:rFonts w:ascii="Arial" w:hAnsi="Arial" w:cs="Arial"/>
                <w:sz w:val="17"/>
                <w:szCs w:val="17"/>
              </w:rPr>
              <w:t>Retenciones y Contribuciones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22,953,261 </w:t>
            </w:r>
          </w:p>
        </w:tc>
        <w:tc>
          <w:tcPr>
            <w:tcW w:w="2148" w:type="dxa"/>
            <w:tcBorders>
              <w:top w:val="nil"/>
              <w:left w:val="single" w:sz="4" w:space="0" w:color="auto"/>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15,091,366 </w:t>
            </w:r>
          </w:p>
        </w:tc>
      </w:tr>
      <w:tr w:rsidR="00795BA6" w:rsidRPr="002D70DA" w:rsidTr="00795BA6">
        <w:trPr>
          <w:trHeight w:val="240"/>
          <w:jc w:val="center"/>
        </w:trPr>
        <w:tc>
          <w:tcPr>
            <w:tcW w:w="4743" w:type="dxa"/>
            <w:tcBorders>
              <w:top w:val="single" w:sz="4" w:space="0" w:color="auto"/>
              <w:left w:val="single" w:sz="4" w:space="0" w:color="auto"/>
              <w:bottom w:val="single" w:sz="4" w:space="0" w:color="auto"/>
              <w:right w:val="single" w:sz="4" w:space="0" w:color="auto"/>
            </w:tcBorders>
            <w:shd w:val="clear" w:color="auto" w:fill="auto"/>
          </w:tcPr>
          <w:p w:rsidR="00795BA6" w:rsidRPr="0030750A" w:rsidRDefault="00795BA6" w:rsidP="00795BA6">
            <w:pPr>
              <w:rPr>
                <w:rFonts w:ascii="Arial" w:hAnsi="Arial" w:cs="Arial"/>
                <w:sz w:val="17"/>
                <w:szCs w:val="17"/>
              </w:rPr>
            </w:pPr>
            <w:r w:rsidRPr="0030750A">
              <w:rPr>
                <w:rFonts w:ascii="Arial" w:hAnsi="Arial" w:cs="Arial"/>
                <w:sz w:val="17"/>
                <w:szCs w:val="17"/>
              </w:rPr>
              <w:t>Otras Cuentas por Pagar a Corto Plazo</w:t>
            </w:r>
          </w:p>
        </w:tc>
        <w:tc>
          <w:tcPr>
            <w:tcW w:w="2091" w:type="dxa"/>
            <w:tcBorders>
              <w:top w:val="single" w:sz="4" w:space="0" w:color="auto"/>
              <w:left w:val="nil"/>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1,455,774 </w:t>
            </w:r>
          </w:p>
        </w:tc>
        <w:tc>
          <w:tcPr>
            <w:tcW w:w="2148" w:type="dxa"/>
            <w:tcBorders>
              <w:top w:val="nil"/>
              <w:left w:val="single" w:sz="4" w:space="0" w:color="auto"/>
              <w:bottom w:val="single" w:sz="4" w:space="0" w:color="auto"/>
              <w:right w:val="single" w:sz="4" w:space="0" w:color="auto"/>
            </w:tcBorders>
            <w:shd w:val="clear" w:color="auto" w:fill="auto"/>
          </w:tcPr>
          <w:p w:rsidR="00795BA6" w:rsidRPr="00795BA6" w:rsidRDefault="00795BA6" w:rsidP="00795BA6">
            <w:pPr>
              <w:jc w:val="right"/>
              <w:rPr>
                <w:rFonts w:ascii="Arial" w:hAnsi="Arial" w:cs="Arial"/>
                <w:sz w:val="17"/>
                <w:szCs w:val="17"/>
              </w:rPr>
            </w:pPr>
            <w:r w:rsidRPr="00795BA6">
              <w:rPr>
                <w:rFonts w:ascii="Arial" w:hAnsi="Arial" w:cs="Arial"/>
                <w:sz w:val="17"/>
                <w:szCs w:val="17"/>
              </w:rPr>
              <w:t xml:space="preserve"> 3,693,585 </w:t>
            </w:r>
          </w:p>
        </w:tc>
      </w:tr>
      <w:tr w:rsidR="00795BA6" w:rsidRPr="002D70DA" w:rsidTr="00795BA6">
        <w:trPr>
          <w:trHeight w:val="240"/>
          <w:jc w:val="center"/>
        </w:trPr>
        <w:tc>
          <w:tcPr>
            <w:tcW w:w="4743" w:type="dxa"/>
            <w:tcBorders>
              <w:top w:val="single" w:sz="4" w:space="0" w:color="auto"/>
              <w:right w:val="single" w:sz="4" w:space="0" w:color="auto"/>
            </w:tcBorders>
            <w:shd w:val="clear" w:color="auto" w:fill="auto"/>
            <w:vAlign w:val="center"/>
          </w:tcPr>
          <w:p w:rsidR="00795BA6" w:rsidRPr="00F93CE5" w:rsidRDefault="00795BA6" w:rsidP="00795BA6">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795BA6" w:rsidRPr="00795BA6" w:rsidRDefault="00795BA6" w:rsidP="00795BA6">
            <w:pPr>
              <w:jc w:val="right"/>
              <w:rPr>
                <w:rFonts w:ascii="Arial" w:hAnsi="Arial" w:cs="Arial"/>
                <w:b/>
                <w:sz w:val="17"/>
                <w:szCs w:val="17"/>
              </w:rPr>
            </w:pPr>
            <w:r w:rsidRPr="00795BA6">
              <w:rPr>
                <w:rFonts w:ascii="Arial" w:hAnsi="Arial" w:cs="Arial"/>
                <w:b/>
                <w:sz w:val="17"/>
                <w:szCs w:val="17"/>
              </w:rPr>
              <w:t xml:space="preserve"> 34,982,821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795BA6" w:rsidRPr="00795BA6" w:rsidRDefault="00795BA6" w:rsidP="00795BA6">
            <w:pPr>
              <w:jc w:val="right"/>
              <w:rPr>
                <w:rFonts w:ascii="Arial" w:hAnsi="Arial" w:cs="Arial"/>
                <w:b/>
                <w:sz w:val="17"/>
                <w:szCs w:val="17"/>
              </w:rPr>
            </w:pPr>
            <w:r w:rsidRPr="00795BA6">
              <w:rPr>
                <w:rFonts w:ascii="Arial" w:hAnsi="Arial" w:cs="Arial"/>
                <w:b/>
                <w:sz w:val="17"/>
                <w:szCs w:val="17"/>
              </w:rPr>
              <w:t xml:space="preserve"> 23,515,259 </w:t>
            </w:r>
          </w:p>
        </w:tc>
      </w:tr>
    </w:tbl>
    <w:p w:rsidR="000B6CE6" w:rsidRDefault="000B6CE6">
      <w:pPr>
        <w:rPr>
          <w:rFonts w:ascii="Arial" w:eastAsia="Calibri" w:hAnsi="Arial" w:cs="Arial"/>
          <w:spacing w:val="-1"/>
          <w:sz w:val="17"/>
          <w:szCs w:val="17"/>
        </w:rPr>
      </w:pPr>
    </w:p>
    <w:p w:rsidR="0030750A" w:rsidRDefault="0030750A" w:rsidP="0030750A">
      <w:pPr>
        <w:spacing w:before="80" w:line="250" w:lineRule="exact"/>
        <w:ind w:left="709"/>
        <w:jc w:val="both"/>
        <w:rPr>
          <w:rFonts w:ascii="Arial" w:eastAsia="Calibri" w:hAnsi="Arial" w:cs="Arial"/>
          <w:spacing w:val="-1"/>
          <w:sz w:val="17"/>
          <w:szCs w:val="17"/>
        </w:rPr>
      </w:pPr>
      <w:r w:rsidRPr="00D33839">
        <w:rPr>
          <w:rFonts w:ascii="Arial" w:eastAsia="Calibri" w:hAnsi="Arial" w:cs="Arial"/>
          <w:spacing w:val="-1"/>
          <w:sz w:val="17"/>
          <w:szCs w:val="17"/>
        </w:rPr>
        <w:t xml:space="preserve">El </w:t>
      </w:r>
      <w:r>
        <w:rPr>
          <w:rFonts w:ascii="Arial" w:eastAsia="Calibri" w:hAnsi="Arial" w:cs="Arial"/>
          <w:spacing w:val="-1"/>
          <w:sz w:val="17"/>
          <w:szCs w:val="17"/>
        </w:rPr>
        <w:t>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Pr>
          <w:rFonts w:ascii="Arial" w:eastAsia="Calibri" w:hAnsi="Arial" w:cs="Arial"/>
          <w:spacing w:val="-1"/>
          <w:sz w:val="17"/>
          <w:szCs w:val="17"/>
        </w:rPr>
        <w:t xml:space="preserve">disminución de la cuenta de </w:t>
      </w:r>
      <w:r w:rsidRPr="0030750A">
        <w:rPr>
          <w:rFonts w:ascii="Arial" w:eastAsia="Calibri" w:hAnsi="Arial" w:cs="Arial"/>
          <w:spacing w:val="-1"/>
          <w:sz w:val="17"/>
          <w:szCs w:val="17"/>
        </w:rPr>
        <w:t xml:space="preserve">Retenciones y Contribuciones por Pagar a Corto Plazo </w:t>
      </w:r>
      <w:r w:rsidRPr="00D33839">
        <w:rPr>
          <w:rFonts w:ascii="Arial" w:eastAsia="Calibri" w:hAnsi="Arial" w:cs="Arial"/>
          <w:spacing w:val="-1"/>
          <w:sz w:val="17"/>
          <w:szCs w:val="17"/>
        </w:rPr>
        <w:t>por parte de</w:t>
      </w:r>
      <w:r w:rsidR="00795BA6">
        <w:rPr>
          <w:rFonts w:ascii="Arial" w:eastAsia="Calibri" w:hAnsi="Arial" w:cs="Arial"/>
          <w:spacing w:val="-1"/>
          <w:sz w:val="17"/>
          <w:szCs w:val="17"/>
        </w:rPr>
        <w:t xml:space="preserve"> </w:t>
      </w:r>
      <w:r>
        <w:rPr>
          <w:rFonts w:ascii="Arial" w:eastAsia="Calibri" w:hAnsi="Arial" w:cs="Arial"/>
          <w:spacing w:val="-1"/>
          <w:sz w:val="17"/>
          <w:szCs w:val="17"/>
        </w:rPr>
        <w:t>l</w:t>
      </w:r>
      <w:r w:rsidR="00795BA6">
        <w:rPr>
          <w:rFonts w:ascii="Arial" w:eastAsia="Calibri" w:hAnsi="Arial" w:cs="Arial"/>
          <w:spacing w:val="-1"/>
          <w:sz w:val="17"/>
          <w:szCs w:val="17"/>
        </w:rPr>
        <w:t>a</w:t>
      </w:r>
      <w:r>
        <w:rPr>
          <w:rFonts w:ascii="Arial" w:eastAsia="Calibri" w:hAnsi="Arial" w:cs="Arial"/>
          <w:spacing w:val="-1"/>
          <w:sz w:val="17"/>
          <w:szCs w:val="17"/>
        </w:rPr>
        <w:t xml:space="preserve"> </w:t>
      </w:r>
      <w:r w:rsidR="00795BA6" w:rsidRPr="00795BA6">
        <w:rPr>
          <w:rFonts w:ascii="Arial" w:eastAsia="Calibri" w:hAnsi="Arial" w:cs="Arial"/>
          <w:spacing w:val="-1"/>
          <w:sz w:val="17"/>
          <w:szCs w:val="17"/>
        </w:rPr>
        <w:t>Fiscalía General del Estado</w:t>
      </w:r>
      <w:r>
        <w:rPr>
          <w:rFonts w:ascii="Arial" w:eastAsia="Calibri" w:hAnsi="Arial" w:cs="Arial"/>
          <w:spacing w:val="-1"/>
          <w:sz w:val="17"/>
          <w:szCs w:val="17"/>
        </w:rPr>
        <w:t>.</w:t>
      </w:r>
    </w:p>
    <w:p w:rsidR="0030750A" w:rsidRDefault="0030750A">
      <w:pPr>
        <w:rPr>
          <w:rFonts w:ascii="Arial" w:eastAsia="Calibri" w:hAnsi="Arial" w:cs="Arial"/>
          <w:spacing w:val="-1"/>
          <w:sz w:val="17"/>
          <w:szCs w:val="17"/>
        </w:rPr>
      </w:pPr>
    </w:p>
    <w:p w:rsidR="00E85264" w:rsidRDefault="00E85264" w:rsidP="00E85264">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85264" w:rsidRPr="002D70DA" w:rsidRDefault="00E85264" w:rsidP="00E8526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0B4BC8"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B4BC8" w:rsidRPr="002D70DA" w:rsidRDefault="000B4BC8"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B4BC8"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E707E7"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Comisión de Transparencia y Acceso a la</w:t>
            </w:r>
          </w:p>
          <w:p w:rsidR="00E707E7" w:rsidRPr="00560A6D" w:rsidRDefault="00E707E7" w:rsidP="00E707E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420,807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923,165 </w:t>
            </w:r>
          </w:p>
        </w:tc>
      </w:tr>
      <w:tr w:rsidR="00E707E7"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560A6D" w:rsidRDefault="00E707E7" w:rsidP="00E707E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1,328,913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601,502 </w:t>
            </w:r>
          </w:p>
        </w:tc>
      </w:tr>
      <w:tr w:rsidR="00E707E7"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Entidad Superior de Fiscalización del Estado de</w:t>
            </w:r>
          </w:p>
          <w:p w:rsidR="00E707E7" w:rsidRPr="00C34218" w:rsidRDefault="00E707E7" w:rsidP="00E707E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3,701,764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3,712,104 </w:t>
            </w:r>
          </w:p>
        </w:tc>
      </w:tr>
      <w:tr w:rsidR="00E707E7"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23,397,039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8,751,192 </w:t>
            </w:r>
          </w:p>
        </w:tc>
      </w:tr>
      <w:tr w:rsidR="00E707E7"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560A6D" w:rsidRDefault="00E707E7" w:rsidP="00E707E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4,166,237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6,995,874 </w:t>
            </w:r>
          </w:p>
        </w:tc>
      </w:tr>
      <w:tr w:rsidR="00E707E7"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1,301,836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1,051,434 </w:t>
            </w:r>
          </w:p>
        </w:tc>
      </w:tr>
      <w:tr w:rsidR="00E707E7"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C34218" w:rsidRDefault="00E707E7" w:rsidP="00E707E7">
            <w:pPr>
              <w:ind w:left="497"/>
              <w:rPr>
                <w:rFonts w:ascii="Arial" w:hAnsi="Arial" w:cs="Arial"/>
                <w:sz w:val="17"/>
                <w:szCs w:val="17"/>
              </w:rPr>
            </w:pPr>
            <w:r w:rsidRPr="00C34218">
              <w:rPr>
                <w:rFonts w:ascii="Arial" w:hAnsi="Arial" w:cs="Arial"/>
                <w:sz w:val="17"/>
                <w:szCs w:val="17"/>
              </w:rPr>
              <w:t>Tribunal de Justicia Administrativa del Estado de</w:t>
            </w:r>
          </w:p>
          <w:p w:rsidR="00E707E7" w:rsidRPr="00560A6D" w:rsidRDefault="00E707E7" w:rsidP="00E707E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527,029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136,025 </w:t>
            </w:r>
          </w:p>
        </w:tc>
      </w:tr>
      <w:tr w:rsidR="00E707E7" w:rsidRPr="002D70DA" w:rsidTr="0001159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707E7" w:rsidRPr="00560A6D" w:rsidRDefault="00E707E7" w:rsidP="00E707E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139,196 </w:t>
            </w:r>
          </w:p>
        </w:tc>
        <w:tc>
          <w:tcPr>
            <w:tcW w:w="2180" w:type="dxa"/>
            <w:tcBorders>
              <w:top w:val="single" w:sz="4" w:space="0" w:color="auto"/>
              <w:left w:val="nil"/>
              <w:bottom w:val="single" w:sz="4" w:space="0" w:color="auto"/>
              <w:right w:val="single" w:sz="4" w:space="0" w:color="auto"/>
            </w:tcBorders>
            <w:shd w:val="clear" w:color="auto" w:fill="auto"/>
          </w:tcPr>
          <w:p w:rsidR="00E707E7" w:rsidRPr="00E707E7" w:rsidRDefault="00E707E7" w:rsidP="00E707E7">
            <w:pPr>
              <w:jc w:val="right"/>
              <w:rPr>
                <w:rFonts w:ascii="Arial" w:hAnsi="Arial" w:cs="Arial"/>
                <w:sz w:val="17"/>
                <w:szCs w:val="17"/>
              </w:rPr>
            </w:pPr>
            <w:r w:rsidRPr="00E707E7">
              <w:rPr>
                <w:rFonts w:ascii="Arial" w:hAnsi="Arial" w:cs="Arial"/>
                <w:sz w:val="17"/>
                <w:szCs w:val="17"/>
              </w:rPr>
              <w:t xml:space="preserve">1,343,963 </w:t>
            </w:r>
          </w:p>
        </w:tc>
      </w:tr>
      <w:tr w:rsidR="0001159B" w:rsidRPr="002D70DA" w:rsidTr="0001159B">
        <w:trPr>
          <w:trHeight w:val="240"/>
          <w:jc w:val="center"/>
        </w:trPr>
        <w:tc>
          <w:tcPr>
            <w:tcW w:w="4900" w:type="dxa"/>
            <w:tcBorders>
              <w:top w:val="nil"/>
              <w:left w:val="nil"/>
              <w:bottom w:val="nil"/>
              <w:right w:val="single" w:sz="4" w:space="0" w:color="auto"/>
            </w:tcBorders>
            <w:shd w:val="clear" w:color="000000" w:fill="FFFFFF"/>
            <w:vAlign w:val="center"/>
            <w:hideMark/>
          </w:tcPr>
          <w:p w:rsidR="0001159B" w:rsidRPr="002D70DA" w:rsidRDefault="0001159B" w:rsidP="0001159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1159B" w:rsidRPr="0001159B" w:rsidRDefault="0001159B" w:rsidP="0001159B">
            <w:pPr>
              <w:jc w:val="right"/>
              <w:rPr>
                <w:rFonts w:ascii="Arial" w:hAnsi="Arial" w:cs="Arial"/>
                <w:b/>
                <w:sz w:val="17"/>
                <w:szCs w:val="17"/>
              </w:rPr>
            </w:pPr>
            <w:r w:rsidRPr="0001159B">
              <w:rPr>
                <w:rFonts w:ascii="Arial" w:hAnsi="Arial" w:cs="Arial"/>
                <w:b/>
                <w:sz w:val="17"/>
                <w:szCs w:val="17"/>
              </w:rPr>
              <w:t xml:space="preserve">34,982,821 </w:t>
            </w:r>
          </w:p>
        </w:tc>
        <w:tc>
          <w:tcPr>
            <w:tcW w:w="2180" w:type="dxa"/>
            <w:tcBorders>
              <w:top w:val="nil"/>
              <w:left w:val="single" w:sz="4" w:space="0" w:color="auto"/>
              <w:bottom w:val="single" w:sz="4" w:space="0" w:color="auto"/>
              <w:right w:val="single" w:sz="4" w:space="0" w:color="auto"/>
            </w:tcBorders>
            <w:shd w:val="clear" w:color="000000" w:fill="FFFFFF"/>
          </w:tcPr>
          <w:p w:rsidR="0001159B" w:rsidRPr="0001159B" w:rsidRDefault="0001159B" w:rsidP="0001159B">
            <w:pPr>
              <w:jc w:val="right"/>
              <w:rPr>
                <w:rFonts w:ascii="Arial" w:hAnsi="Arial" w:cs="Arial"/>
                <w:b/>
                <w:sz w:val="17"/>
                <w:szCs w:val="17"/>
              </w:rPr>
            </w:pPr>
            <w:r w:rsidRPr="0001159B">
              <w:rPr>
                <w:rFonts w:ascii="Arial" w:hAnsi="Arial" w:cs="Arial"/>
                <w:b/>
                <w:sz w:val="17"/>
                <w:szCs w:val="17"/>
              </w:rPr>
              <w:t xml:space="preserve">23,515,259 </w:t>
            </w:r>
          </w:p>
        </w:tc>
      </w:tr>
    </w:tbl>
    <w:p w:rsidR="006515BE" w:rsidRDefault="006515BE" w:rsidP="006C17A5">
      <w:pPr>
        <w:spacing w:before="80" w:line="250" w:lineRule="exact"/>
        <w:ind w:left="709"/>
        <w:jc w:val="both"/>
        <w:rPr>
          <w:rFonts w:ascii="Arial" w:eastAsia="Calibri" w:hAnsi="Arial" w:cs="Arial"/>
          <w:spacing w:val="-1"/>
          <w:sz w:val="17"/>
          <w:szCs w:val="17"/>
        </w:rPr>
      </w:pPr>
    </w:p>
    <w:p w:rsidR="009F208B" w:rsidRDefault="009F208B" w:rsidP="006C17A5">
      <w:pPr>
        <w:spacing w:before="80" w:line="250" w:lineRule="exact"/>
        <w:ind w:left="709"/>
        <w:jc w:val="both"/>
        <w:rPr>
          <w:rFonts w:ascii="Arial" w:eastAsia="Calibri" w:hAnsi="Arial" w:cs="Arial"/>
          <w:spacing w:val="-1"/>
          <w:sz w:val="17"/>
          <w:szCs w:val="17"/>
        </w:rPr>
      </w:pPr>
    </w:p>
    <w:p w:rsidR="000B503E" w:rsidRDefault="000B503E">
      <w:pPr>
        <w:rPr>
          <w:rFonts w:ascii="Arial" w:eastAsia="Calibri" w:hAnsi="Arial" w:cs="Arial"/>
          <w:spacing w:val="-1"/>
          <w:sz w:val="17"/>
          <w:szCs w:val="17"/>
        </w:rPr>
      </w:pPr>
      <w:r>
        <w:rPr>
          <w:rFonts w:ascii="Arial" w:eastAsia="Calibri" w:hAnsi="Arial" w:cs="Arial"/>
          <w:spacing w:val="-1"/>
          <w:sz w:val="17"/>
          <w:szCs w:val="17"/>
        </w:rPr>
        <w:br w:type="page"/>
      </w:r>
    </w:p>
    <w:p w:rsidR="000065BE" w:rsidRDefault="000065BE" w:rsidP="00006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Pr="000065BE">
        <w:rPr>
          <w:rFonts w:ascii="Arial" w:eastAsia="Calibri" w:hAnsi="Arial" w:cs="Arial"/>
          <w:spacing w:val="-1"/>
          <w:sz w:val="17"/>
          <w:szCs w:val="17"/>
        </w:rPr>
        <w:t>Fondos y Bienes de Terceros en Garantía y</w:t>
      </w:r>
      <w:r>
        <w:rPr>
          <w:rFonts w:ascii="Arial" w:eastAsia="Calibri" w:hAnsi="Arial" w:cs="Arial"/>
          <w:spacing w:val="-1"/>
          <w:sz w:val="17"/>
          <w:szCs w:val="17"/>
        </w:rPr>
        <w:t>/o Administración a Corto Plazo:</w:t>
      </w:r>
    </w:p>
    <w:p w:rsidR="000065BE" w:rsidRDefault="000065BE" w:rsidP="000065B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7" w:type="dxa"/>
        <w:jc w:val="center"/>
        <w:tblCellMar>
          <w:left w:w="70" w:type="dxa"/>
          <w:right w:w="70" w:type="dxa"/>
        </w:tblCellMar>
        <w:tblLook w:val="04A0" w:firstRow="1" w:lastRow="0" w:firstColumn="1" w:lastColumn="0" w:noHBand="0" w:noVBand="1"/>
      </w:tblPr>
      <w:tblGrid>
        <w:gridCol w:w="4746"/>
        <w:gridCol w:w="2092"/>
        <w:gridCol w:w="2149"/>
      </w:tblGrid>
      <w:tr w:rsidR="000065BE" w:rsidRPr="002D70DA" w:rsidTr="00012BDB">
        <w:trPr>
          <w:trHeight w:val="480"/>
          <w:jc w:val="center"/>
        </w:trPr>
        <w:tc>
          <w:tcPr>
            <w:tcW w:w="474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0065BE" w:rsidP="00F338A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2" w:type="dxa"/>
            <w:tcBorders>
              <w:top w:val="single" w:sz="4" w:space="0" w:color="auto"/>
              <w:left w:val="nil"/>
              <w:bottom w:val="single" w:sz="4" w:space="0" w:color="auto"/>
              <w:right w:val="single" w:sz="4" w:space="0" w:color="auto"/>
            </w:tcBorders>
            <w:shd w:val="clear" w:color="auto" w:fill="D5DCE4" w:themeFill="text2" w:themeFillTint="33"/>
            <w:vAlign w:val="center"/>
          </w:tcPr>
          <w:p w:rsidR="000065B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4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65BE"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012BDB" w:rsidRPr="002D70DA" w:rsidTr="00012BDB">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12BDB" w:rsidRPr="000B503E" w:rsidRDefault="00012BDB" w:rsidP="00012BDB">
            <w:pPr>
              <w:rPr>
                <w:rFonts w:ascii="Arial" w:hAnsi="Arial" w:cs="Arial"/>
                <w:sz w:val="17"/>
                <w:szCs w:val="17"/>
              </w:rPr>
            </w:pPr>
            <w:r w:rsidRPr="000B503E">
              <w:rPr>
                <w:rFonts w:ascii="Arial" w:hAnsi="Arial" w:cs="Arial"/>
                <w:sz w:val="17"/>
                <w:szCs w:val="17"/>
              </w:rPr>
              <w:t>Fondos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012BDB" w:rsidRPr="00012BDB" w:rsidRDefault="00012BDB" w:rsidP="00012BDB">
            <w:pPr>
              <w:jc w:val="right"/>
              <w:rPr>
                <w:rFonts w:ascii="Arial" w:hAnsi="Arial" w:cs="Arial"/>
                <w:sz w:val="17"/>
                <w:szCs w:val="17"/>
              </w:rPr>
            </w:pPr>
            <w:r>
              <w:rPr>
                <w:rFonts w:ascii="Arial" w:hAnsi="Arial" w:cs="Arial"/>
                <w:sz w:val="17"/>
                <w:szCs w:val="17"/>
              </w:rPr>
              <w:t>-</w:t>
            </w:r>
            <w:r w:rsidRPr="00012BDB">
              <w:rPr>
                <w:rFonts w:ascii="Arial" w:hAnsi="Arial" w:cs="Arial"/>
                <w:sz w:val="17"/>
                <w:szCs w:val="17"/>
              </w:rPr>
              <w:t xml:space="preserve">348,002 </w:t>
            </w:r>
          </w:p>
        </w:tc>
        <w:tc>
          <w:tcPr>
            <w:tcW w:w="2149" w:type="dxa"/>
            <w:tcBorders>
              <w:top w:val="nil"/>
              <w:left w:val="single" w:sz="4" w:space="0" w:color="auto"/>
              <w:bottom w:val="single" w:sz="4" w:space="0" w:color="auto"/>
              <w:right w:val="single" w:sz="4" w:space="0" w:color="auto"/>
            </w:tcBorders>
            <w:shd w:val="clear" w:color="auto" w:fill="auto"/>
          </w:tcPr>
          <w:p w:rsidR="00012BDB" w:rsidRPr="00012BDB" w:rsidRDefault="00012BDB" w:rsidP="00012BDB">
            <w:pPr>
              <w:jc w:val="right"/>
              <w:rPr>
                <w:rFonts w:ascii="Arial" w:hAnsi="Arial" w:cs="Arial"/>
                <w:sz w:val="17"/>
                <w:szCs w:val="17"/>
              </w:rPr>
            </w:pPr>
            <w:r w:rsidRPr="00012BDB">
              <w:rPr>
                <w:rFonts w:ascii="Arial" w:hAnsi="Arial" w:cs="Arial"/>
                <w:sz w:val="17"/>
                <w:szCs w:val="17"/>
              </w:rPr>
              <w:t xml:space="preserve">-183,849 </w:t>
            </w:r>
          </w:p>
        </w:tc>
      </w:tr>
      <w:tr w:rsidR="00012BDB" w:rsidRPr="002D70DA" w:rsidTr="00012BDB">
        <w:trPr>
          <w:trHeight w:val="240"/>
          <w:jc w:val="center"/>
        </w:trPr>
        <w:tc>
          <w:tcPr>
            <w:tcW w:w="4746" w:type="dxa"/>
            <w:tcBorders>
              <w:top w:val="nil"/>
              <w:left w:val="single" w:sz="4" w:space="0" w:color="auto"/>
              <w:bottom w:val="single" w:sz="4" w:space="0" w:color="auto"/>
              <w:right w:val="single" w:sz="4" w:space="0" w:color="auto"/>
            </w:tcBorders>
            <w:shd w:val="clear" w:color="auto" w:fill="auto"/>
          </w:tcPr>
          <w:p w:rsidR="00012BDB" w:rsidRPr="000B503E" w:rsidRDefault="00012BDB" w:rsidP="00012BDB">
            <w:pPr>
              <w:rPr>
                <w:rFonts w:ascii="Arial" w:hAnsi="Arial" w:cs="Arial"/>
                <w:sz w:val="17"/>
                <w:szCs w:val="17"/>
              </w:rPr>
            </w:pPr>
            <w:r w:rsidRPr="000B503E">
              <w:rPr>
                <w:rFonts w:ascii="Arial" w:hAnsi="Arial" w:cs="Arial"/>
                <w:sz w:val="17"/>
                <w:szCs w:val="17"/>
              </w:rPr>
              <w:t>Valores y Bienes en Garantía a Corto Plazo</w:t>
            </w:r>
          </w:p>
        </w:tc>
        <w:tc>
          <w:tcPr>
            <w:tcW w:w="2092" w:type="dxa"/>
            <w:tcBorders>
              <w:top w:val="single" w:sz="4" w:space="0" w:color="auto"/>
              <w:left w:val="nil"/>
              <w:bottom w:val="single" w:sz="4" w:space="0" w:color="auto"/>
              <w:right w:val="single" w:sz="4" w:space="0" w:color="auto"/>
            </w:tcBorders>
            <w:shd w:val="clear" w:color="auto" w:fill="auto"/>
          </w:tcPr>
          <w:p w:rsidR="00012BDB" w:rsidRPr="00012BDB" w:rsidRDefault="00012BDB" w:rsidP="00012BDB">
            <w:pPr>
              <w:jc w:val="right"/>
              <w:rPr>
                <w:rFonts w:ascii="Arial" w:hAnsi="Arial" w:cs="Arial"/>
                <w:sz w:val="17"/>
                <w:szCs w:val="17"/>
              </w:rPr>
            </w:pPr>
            <w:r w:rsidRPr="00012BDB">
              <w:rPr>
                <w:rFonts w:ascii="Arial" w:hAnsi="Arial" w:cs="Arial"/>
                <w:sz w:val="17"/>
                <w:szCs w:val="17"/>
              </w:rPr>
              <w:t xml:space="preserve"> 780,726 </w:t>
            </w:r>
          </w:p>
        </w:tc>
        <w:tc>
          <w:tcPr>
            <w:tcW w:w="2149" w:type="dxa"/>
            <w:tcBorders>
              <w:top w:val="nil"/>
              <w:left w:val="single" w:sz="4" w:space="0" w:color="auto"/>
              <w:bottom w:val="single" w:sz="4" w:space="0" w:color="auto"/>
              <w:right w:val="single" w:sz="4" w:space="0" w:color="auto"/>
            </w:tcBorders>
            <w:shd w:val="clear" w:color="auto" w:fill="auto"/>
          </w:tcPr>
          <w:p w:rsidR="00012BDB" w:rsidRPr="00012BDB" w:rsidRDefault="00012BDB" w:rsidP="00012BDB">
            <w:pPr>
              <w:jc w:val="right"/>
              <w:rPr>
                <w:rFonts w:ascii="Arial" w:hAnsi="Arial" w:cs="Arial"/>
                <w:sz w:val="17"/>
                <w:szCs w:val="17"/>
              </w:rPr>
            </w:pPr>
            <w:r w:rsidRPr="00012BDB">
              <w:rPr>
                <w:rFonts w:ascii="Arial" w:hAnsi="Arial" w:cs="Arial"/>
                <w:sz w:val="17"/>
                <w:szCs w:val="17"/>
              </w:rPr>
              <w:t xml:space="preserve"> 780,726 </w:t>
            </w:r>
          </w:p>
        </w:tc>
      </w:tr>
      <w:tr w:rsidR="00012BDB" w:rsidRPr="002D70DA" w:rsidTr="00012BDB">
        <w:trPr>
          <w:trHeight w:val="240"/>
          <w:jc w:val="center"/>
        </w:trPr>
        <w:tc>
          <w:tcPr>
            <w:tcW w:w="4746" w:type="dxa"/>
            <w:tcBorders>
              <w:top w:val="single" w:sz="4" w:space="0" w:color="auto"/>
              <w:right w:val="single" w:sz="4" w:space="0" w:color="auto"/>
            </w:tcBorders>
            <w:shd w:val="clear" w:color="auto" w:fill="auto"/>
            <w:vAlign w:val="center"/>
          </w:tcPr>
          <w:p w:rsidR="00012BDB" w:rsidRPr="00F93CE5" w:rsidRDefault="00012BDB" w:rsidP="00012BDB">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2" w:type="dxa"/>
            <w:tcBorders>
              <w:top w:val="single" w:sz="4" w:space="0" w:color="auto"/>
              <w:left w:val="single" w:sz="4" w:space="0" w:color="auto"/>
              <w:bottom w:val="single" w:sz="4" w:space="0" w:color="auto"/>
              <w:right w:val="single" w:sz="4" w:space="0" w:color="auto"/>
            </w:tcBorders>
            <w:shd w:val="clear" w:color="auto" w:fill="auto"/>
          </w:tcPr>
          <w:p w:rsidR="00012BDB" w:rsidRPr="00012BDB" w:rsidRDefault="00012BDB" w:rsidP="00012BDB">
            <w:pPr>
              <w:jc w:val="right"/>
              <w:rPr>
                <w:rFonts w:ascii="Arial" w:hAnsi="Arial" w:cs="Arial"/>
                <w:b/>
                <w:sz w:val="17"/>
                <w:szCs w:val="17"/>
              </w:rPr>
            </w:pPr>
            <w:r w:rsidRPr="00012BDB">
              <w:rPr>
                <w:rFonts w:ascii="Arial" w:hAnsi="Arial" w:cs="Arial"/>
                <w:b/>
                <w:sz w:val="17"/>
                <w:szCs w:val="17"/>
              </w:rPr>
              <w:t xml:space="preserve">432,724 </w:t>
            </w:r>
          </w:p>
        </w:tc>
        <w:tc>
          <w:tcPr>
            <w:tcW w:w="2149" w:type="dxa"/>
            <w:tcBorders>
              <w:top w:val="single" w:sz="4" w:space="0" w:color="auto"/>
              <w:left w:val="single" w:sz="4" w:space="0" w:color="auto"/>
              <w:bottom w:val="single" w:sz="4" w:space="0" w:color="auto"/>
              <w:right w:val="single" w:sz="4" w:space="0" w:color="auto"/>
            </w:tcBorders>
            <w:shd w:val="clear" w:color="auto" w:fill="auto"/>
          </w:tcPr>
          <w:p w:rsidR="00012BDB" w:rsidRPr="00012BDB" w:rsidRDefault="00012BDB" w:rsidP="00012BDB">
            <w:pPr>
              <w:jc w:val="right"/>
              <w:rPr>
                <w:rFonts w:ascii="Arial" w:hAnsi="Arial" w:cs="Arial"/>
                <w:b/>
                <w:sz w:val="17"/>
                <w:szCs w:val="17"/>
              </w:rPr>
            </w:pPr>
            <w:r w:rsidRPr="00012BDB">
              <w:rPr>
                <w:rFonts w:ascii="Arial" w:hAnsi="Arial" w:cs="Arial"/>
                <w:b/>
                <w:sz w:val="17"/>
                <w:szCs w:val="17"/>
              </w:rPr>
              <w:t xml:space="preserve">596,877 </w:t>
            </w:r>
          </w:p>
        </w:tc>
      </w:tr>
    </w:tbl>
    <w:p w:rsidR="00E279F6" w:rsidRDefault="00E279F6" w:rsidP="00E279F6">
      <w:pPr>
        <w:autoSpaceDE w:val="0"/>
        <w:autoSpaceDN w:val="0"/>
        <w:adjustRightInd w:val="0"/>
        <w:spacing w:before="240" w:after="120"/>
        <w:ind w:left="709"/>
        <w:rPr>
          <w:rFonts w:ascii="Arial" w:eastAsia="Calibri" w:hAnsi="Arial" w:cs="Arial"/>
          <w:spacing w:val="-1"/>
          <w:sz w:val="17"/>
          <w:szCs w:val="17"/>
        </w:rPr>
      </w:pPr>
    </w:p>
    <w:p w:rsidR="00821630" w:rsidRDefault="00821630" w:rsidP="00821630">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El de</w:t>
      </w:r>
      <w:r w:rsidRPr="00D33839">
        <w:rPr>
          <w:rFonts w:ascii="Arial" w:eastAsia="Calibri" w:hAnsi="Arial" w:cs="Arial"/>
          <w:spacing w:val="-1"/>
          <w:sz w:val="17"/>
          <w:szCs w:val="17"/>
        </w:rPr>
        <w:t xml:space="preserve">cremento en el saldo corresponde </w:t>
      </w:r>
      <w:r>
        <w:rPr>
          <w:rFonts w:ascii="Arial" w:eastAsia="Calibri" w:hAnsi="Arial" w:cs="Arial"/>
          <w:spacing w:val="-1"/>
          <w:sz w:val="17"/>
          <w:szCs w:val="17"/>
        </w:rPr>
        <w:t xml:space="preserve">principalmente </w:t>
      </w:r>
      <w:r w:rsidRPr="00D33839">
        <w:rPr>
          <w:rFonts w:ascii="Arial" w:eastAsia="Calibri" w:hAnsi="Arial" w:cs="Arial"/>
          <w:spacing w:val="-1"/>
          <w:sz w:val="17"/>
          <w:szCs w:val="17"/>
        </w:rPr>
        <w:t xml:space="preserve">a la </w:t>
      </w:r>
      <w:r>
        <w:rPr>
          <w:rFonts w:ascii="Arial" w:eastAsia="Calibri" w:hAnsi="Arial" w:cs="Arial"/>
          <w:spacing w:val="-1"/>
          <w:sz w:val="17"/>
          <w:szCs w:val="17"/>
        </w:rPr>
        <w:t xml:space="preserve">disminución de la cuenta </w:t>
      </w:r>
      <w:r w:rsidR="00012BDB" w:rsidRPr="00012BDB">
        <w:rPr>
          <w:rFonts w:ascii="Arial" w:eastAsia="Calibri" w:hAnsi="Arial" w:cs="Arial"/>
          <w:spacing w:val="-1"/>
          <w:sz w:val="17"/>
          <w:szCs w:val="17"/>
        </w:rPr>
        <w:t xml:space="preserve">Fondos en Garantía a Corto Plazo </w:t>
      </w:r>
      <w:r w:rsidRPr="00D33839">
        <w:rPr>
          <w:rFonts w:ascii="Arial" w:eastAsia="Calibri" w:hAnsi="Arial" w:cs="Arial"/>
          <w:spacing w:val="-1"/>
          <w:sz w:val="17"/>
          <w:szCs w:val="17"/>
        </w:rPr>
        <w:t>por parte de</w:t>
      </w:r>
      <w:r>
        <w:rPr>
          <w:rFonts w:ascii="Arial" w:eastAsia="Calibri" w:hAnsi="Arial" w:cs="Arial"/>
          <w:spacing w:val="-1"/>
          <w:sz w:val="17"/>
          <w:szCs w:val="17"/>
        </w:rPr>
        <w:t xml:space="preserve">l </w:t>
      </w:r>
      <w:r w:rsidR="00012BDB" w:rsidRPr="00012BDB">
        <w:rPr>
          <w:rFonts w:ascii="Arial" w:eastAsia="Calibri" w:hAnsi="Arial" w:cs="Arial"/>
          <w:spacing w:val="-1"/>
          <w:sz w:val="17"/>
          <w:szCs w:val="17"/>
        </w:rPr>
        <w:t>Tribunal de Justicia Administrativa del Estado</w:t>
      </w:r>
      <w:r>
        <w:rPr>
          <w:rFonts w:ascii="Arial" w:eastAsia="Calibri" w:hAnsi="Arial" w:cs="Arial"/>
          <w:spacing w:val="-1"/>
          <w:sz w:val="17"/>
          <w:szCs w:val="17"/>
        </w:rPr>
        <w:t>.</w:t>
      </w:r>
    </w:p>
    <w:p w:rsidR="00821630" w:rsidRDefault="00821630" w:rsidP="00E279F6">
      <w:pPr>
        <w:autoSpaceDE w:val="0"/>
        <w:autoSpaceDN w:val="0"/>
        <w:adjustRightInd w:val="0"/>
        <w:spacing w:before="240" w:after="120"/>
        <w:ind w:left="709"/>
        <w:rPr>
          <w:rFonts w:ascii="Arial" w:eastAsia="Calibri" w:hAnsi="Arial" w:cs="Arial"/>
          <w:spacing w:val="-1"/>
          <w:sz w:val="17"/>
          <w:szCs w:val="17"/>
        </w:rPr>
      </w:pPr>
    </w:p>
    <w:p w:rsidR="00E279F6" w:rsidRDefault="00E279F6" w:rsidP="00E279F6">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E279F6" w:rsidRPr="002D70DA" w:rsidRDefault="00E279F6" w:rsidP="00E279F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E279F6" w:rsidRPr="002D70DA" w:rsidTr="00012B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279F6" w:rsidRPr="002D70DA" w:rsidRDefault="00E279F6"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279F6"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821630" w:rsidRPr="002D70DA" w:rsidTr="00012B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1630" w:rsidRPr="00C34218" w:rsidRDefault="00821630" w:rsidP="00821630">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21630" w:rsidRPr="00821630" w:rsidRDefault="00821630" w:rsidP="00821630">
            <w:pPr>
              <w:jc w:val="right"/>
              <w:rPr>
                <w:rFonts w:ascii="Arial" w:hAnsi="Arial" w:cs="Arial"/>
                <w:sz w:val="17"/>
                <w:szCs w:val="17"/>
              </w:rPr>
            </w:pPr>
            <w:r w:rsidRPr="00821630">
              <w:rPr>
                <w:rFonts w:ascii="Arial" w:hAnsi="Arial" w:cs="Arial"/>
                <w:sz w:val="17"/>
                <w:szCs w:val="17"/>
              </w:rPr>
              <w:t xml:space="preserve">8,500 </w:t>
            </w:r>
          </w:p>
        </w:tc>
        <w:tc>
          <w:tcPr>
            <w:tcW w:w="2180" w:type="dxa"/>
            <w:tcBorders>
              <w:top w:val="single" w:sz="4" w:space="0" w:color="auto"/>
              <w:left w:val="nil"/>
              <w:bottom w:val="single" w:sz="4" w:space="0" w:color="auto"/>
              <w:right w:val="single" w:sz="4" w:space="0" w:color="auto"/>
            </w:tcBorders>
            <w:shd w:val="clear" w:color="auto" w:fill="auto"/>
          </w:tcPr>
          <w:p w:rsidR="00821630" w:rsidRPr="00821630" w:rsidRDefault="00821630" w:rsidP="00821630">
            <w:pPr>
              <w:jc w:val="right"/>
              <w:rPr>
                <w:rFonts w:ascii="Arial" w:hAnsi="Arial" w:cs="Arial"/>
                <w:sz w:val="17"/>
                <w:szCs w:val="17"/>
              </w:rPr>
            </w:pPr>
            <w:r w:rsidRPr="00821630">
              <w:rPr>
                <w:rFonts w:ascii="Arial" w:hAnsi="Arial" w:cs="Arial"/>
                <w:sz w:val="17"/>
                <w:szCs w:val="17"/>
              </w:rPr>
              <w:t xml:space="preserve">8,500 </w:t>
            </w:r>
          </w:p>
        </w:tc>
      </w:tr>
      <w:tr w:rsidR="00821630" w:rsidRPr="002D70DA" w:rsidTr="00012B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21630" w:rsidRPr="00C34218" w:rsidRDefault="00821630" w:rsidP="00821630">
            <w:pPr>
              <w:ind w:left="497"/>
              <w:rPr>
                <w:rFonts w:ascii="Arial" w:hAnsi="Arial" w:cs="Arial"/>
                <w:sz w:val="17"/>
                <w:szCs w:val="17"/>
              </w:rPr>
            </w:pPr>
            <w:r w:rsidRPr="00C34218">
              <w:rPr>
                <w:rFonts w:ascii="Arial" w:hAnsi="Arial" w:cs="Arial"/>
                <w:sz w:val="17"/>
                <w:szCs w:val="17"/>
              </w:rPr>
              <w:t>Tribunal de Justicia Administrativa del Estado de</w:t>
            </w:r>
          </w:p>
          <w:p w:rsidR="00821630" w:rsidRPr="00560A6D" w:rsidRDefault="00821630" w:rsidP="00821630">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21630" w:rsidRPr="00821630" w:rsidRDefault="00821630" w:rsidP="00821630">
            <w:pPr>
              <w:jc w:val="right"/>
              <w:rPr>
                <w:rFonts w:ascii="Arial" w:hAnsi="Arial" w:cs="Arial"/>
                <w:sz w:val="17"/>
                <w:szCs w:val="17"/>
              </w:rPr>
            </w:pPr>
            <w:r w:rsidRPr="00821630">
              <w:rPr>
                <w:rFonts w:ascii="Arial" w:hAnsi="Arial" w:cs="Arial"/>
                <w:sz w:val="17"/>
                <w:szCs w:val="17"/>
              </w:rPr>
              <w:t xml:space="preserve">424,224 </w:t>
            </w:r>
          </w:p>
        </w:tc>
        <w:tc>
          <w:tcPr>
            <w:tcW w:w="2180" w:type="dxa"/>
            <w:tcBorders>
              <w:top w:val="single" w:sz="4" w:space="0" w:color="auto"/>
              <w:left w:val="nil"/>
              <w:bottom w:val="single" w:sz="4" w:space="0" w:color="auto"/>
              <w:right w:val="single" w:sz="4" w:space="0" w:color="auto"/>
            </w:tcBorders>
            <w:shd w:val="clear" w:color="auto" w:fill="auto"/>
          </w:tcPr>
          <w:p w:rsidR="00821630" w:rsidRPr="00821630" w:rsidRDefault="00821630" w:rsidP="00821630">
            <w:pPr>
              <w:jc w:val="right"/>
              <w:rPr>
                <w:rFonts w:ascii="Arial" w:hAnsi="Arial" w:cs="Arial"/>
                <w:sz w:val="17"/>
                <w:szCs w:val="17"/>
              </w:rPr>
            </w:pPr>
            <w:r w:rsidRPr="00821630">
              <w:rPr>
                <w:rFonts w:ascii="Arial" w:hAnsi="Arial" w:cs="Arial"/>
                <w:sz w:val="17"/>
                <w:szCs w:val="17"/>
              </w:rPr>
              <w:t xml:space="preserve">588,377 </w:t>
            </w:r>
          </w:p>
        </w:tc>
      </w:tr>
      <w:tr w:rsidR="00012BDB" w:rsidRPr="002D70DA" w:rsidTr="00012BDB">
        <w:trPr>
          <w:trHeight w:val="240"/>
          <w:jc w:val="center"/>
        </w:trPr>
        <w:tc>
          <w:tcPr>
            <w:tcW w:w="4900" w:type="dxa"/>
            <w:tcBorders>
              <w:top w:val="nil"/>
              <w:left w:val="nil"/>
              <w:bottom w:val="nil"/>
              <w:right w:val="single" w:sz="4" w:space="0" w:color="auto"/>
            </w:tcBorders>
            <w:shd w:val="clear" w:color="000000" w:fill="FFFFFF"/>
            <w:vAlign w:val="center"/>
            <w:hideMark/>
          </w:tcPr>
          <w:p w:rsidR="00012BDB" w:rsidRPr="002D70DA" w:rsidRDefault="00012BDB" w:rsidP="00012BD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012BDB" w:rsidRPr="00012BDB" w:rsidRDefault="00012BDB" w:rsidP="00012BDB">
            <w:pPr>
              <w:jc w:val="right"/>
              <w:rPr>
                <w:rFonts w:ascii="Arial" w:hAnsi="Arial" w:cs="Arial"/>
                <w:b/>
                <w:sz w:val="17"/>
                <w:szCs w:val="17"/>
              </w:rPr>
            </w:pPr>
            <w:r w:rsidRPr="00012BDB">
              <w:rPr>
                <w:rFonts w:ascii="Arial" w:hAnsi="Arial" w:cs="Arial"/>
                <w:b/>
                <w:sz w:val="17"/>
                <w:szCs w:val="17"/>
              </w:rPr>
              <w:t xml:space="preserve">432,724 </w:t>
            </w:r>
          </w:p>
        </w:tc>
        <w:tc>
          <w:tcPr>
            <w:tcW w:w="2180" w:type="dxa"/>
            <w:tcBorders>
              <w:top w:val="nil"/>
              <w:left w:val="single" w:sz="4" w:space="0" w:color="auto"/>
              <w:bottom w:val="single" w:sz="4" w:space="0" w:color="auto"/>
              <w:right w:val="single" w:sz="4" w:space="0" w:color="auto"/>
            </w:tcBorders>
            <w:shd w:val="clear" w:color="000000" w:fill="FFFFFF"/>
          </w:tcPr>
          <w:p w:rsidR="00012BDB" w:rsidRPr="00012BDB" w:rsidRDefault="00012BDB" w:rsidP="00012BDB">
            <w:pPr>
              <w:jc w:val="right"/>
              <w:rPr>
                <w:rFonts w:ascii="Arial" w:hAnsi="Arial" w:cs="Arial"/>
                <w:b/>
                <w:sz w:val="17"/>
                <w:szCs w:val="17"/>
              </w:rPr>
            </w:pPr>
            <w:r w:rsidRPr="00012BDB">
              <w:rPr>
                <w:rFonts w:ascii="Arial" w:hAnsi="Arial" w:cs="Arial"/>
                <w:b/>
                <w:sz w:val="17"/>
                <w:szCs w:val="17"/>
              </w:rPr>
              <w:t xml:space="preserve">596,877 </w:t>
            </w:r>
          </w:p>
        </w:tc>
      </w:tr>
    </w:tbl>
    <w:p w:rsidR="00C81F8A" w:rsidRDefault="00C81F8A" w:rsidP="000767E5">
      <w:pPr>
        <w:spacing w:before="80" w:line="250" w:lineRule="exact"/>
        <w:ind w:left="709"/>
        <w:jc w:val="both"/>
        <w:rPr>
          <w:rFonts w:ascii="Arial" w:eastAsia="Calibri" w:hAnsi="Arial" w:cs="Arial"/>
          <w:spacing w:val="-1"/>
          <w:sz w:val="17"/>
          <w:szCs w:val="17"/>
        </w:rPr>
      </w:pPr>
    </w:p>
    <w:p w:rsidR="00C81F8A" w:rsidRDefault="00C81F8A" w:rsidP="000767E5">
      <w:pPr>
        <w:spacing w:before="80" w:line="250" w:lineRule="exact"/>
        <w:ind w:left="709"/>
        <w:jc w:val="both"/>
        <w:rPr>
          <w:rFonts w:ascii="Arial" w:eastAsia="Calibri" w:hAnsi="Arial" w:cs="Arial"/>
          <w:spacing w:val="-1"/>
          <w:sz w:val="17"/>
          <w:szCs w:val="17"/>
        </w:rPr>
      </w:pPr>
    </w:p>
    <w:p w:rsidR="000767E5" w:rsidRDefault="000767E5" w:rsidP="000767E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EE0F53">
        <w:rPr>
          <w:rFonts w:ascii="Arial" w:eastAsia="Calibri" w:hAnsi="Arial" w:cs="Arial"/>
          <w:spacing w:val="-1"/>
          <w:sz w:val="17"/>
          <w:szCs w:val="17"/>
        </w:rPr>
        <w:t>qu</w:t>
      </w:r>
      <w:r w:rsidRPr="002D70DA">
        <w:rPr>
          <w:rFonts w:ascii="Arial" w:eastAsia="Calibri" w:hAnsi="Arial" w:cs="Arial"/>
          <w:spacing w:val="-1"/>
          <w:sz w:val="17"/>
          <w:szCs w:val="17"/>
        </w:rPr>
        <w:t xml:space="preserve">e el monto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recursos localizados en </w:t>
      </w:r>
      <w:r w:rsidRPr="000767E5">
        <w:rPr>
          <w:rFonts w:ascii="Arial" w:eastAsia="Calibri" w:hAnsi="Arial" w:cs="Arial"/>
          <w:spacing w:val="-1"/>
          <w:sz w:val="17"/>
          <w:szCs w:val="17"/>
        </w:rPr>
        <w:t>Provisiones a Corto Plazo</w:t>
      </w:r>
      <w:r w:rsidR="00EE0F53">
        <w:rPr>
          <w:rFonts w:ascii="Arial" w:eastAsia="Calibri" w:hAnsi="Arial" w:cs="Arial"/>
          <w:spacing w:val="-1"/>
          <w:sz w:val="17"/>
          <w:szCs w:val="17"/>
        </w:rPr>
        <w:t xml:space="preserve"> es de 180,000 y corresponden al </w:t>
      </w:r>
      <w:r w:rsidR="00EE0F53" w:rsidRPr="00EE0F53">
        <w:rPr>
          <w:rFonts w:ascii="Arial" w:eastAsia="Calibri" w:hAnsi="Arial" w:cs="Arial"/>
          <w:spacing w:val="-1"/>
          <w:sz w:val="17"/>
          <w:szCs w:val="17"/>
        </w:rPr>
        <w:t>Tribunal de Justicia Administrativa del Estado de Querétaro</w:t>
      </w:r>
      <w:r w:rsidR="00EE0F53">
        <w:rPr>
          <w:rFonts w:ascii="Arial" w:eastAsia="Calibri" w:hAnsi="Arial" w:cs="Arial"/>
          <w:spacing w:val="-1"/>
          <w:sz w:val="17"/>
          <w:szCs w:val="17"/>
        </w:rPr>
        <w:t>.</w:t>
      </w:r>
    </w:p>
    <w:p w:rsidR="000767E5" w:rsidRDefault="000767E5" w:rsidP="000767E5">
      <w:pPr>
        <w:rPr>
          <w:rFonts w:ascii="Arial" w:eastAsia="Calibri" w:hAnsi="Arial" w:cs="Arial"/>
          <w:spacing w:val="-1"/>
          <w:sz w:val="17"/>
          <w:szCs w:val="17"/>
        </w:rPr>
      </w:pPr>
    </w:p>
    <w:p w:rsidR="009010CC" w:rsidRPr="008918A4" w:rsidRDefault="009010CC" w:rsidP="009010CC">
      <w:pPr>
        <w:spacing w:before="80" w:line="250" w:lineRule="exact"/>
        <w:ind w:left="709"/>
        <w:jc w:val="both"/>
        <w:rPr>
          <w:rFonts w:ascii="Arial" w:eastAsia="Calibri" w:hAnsi="Arial" w:cs="Arial"/>
          <w:spacing w:val="-1"/>
          <w:sz w:val="17"/>
          <w:szCs w:val="17"/>
        </w:rPr>
      </w:pPr>
      <w:r w:rsidRPr="008918A4">
        <w:rPr>
          <w:rFonts w:ascii="Arial" w:eastAsia="Calibri" w:hAnsi="Arial" w:cs="Arial"/>
          <w:spacing w:val="-1"/>
          <w:sz w:val="17"/>
          <w:szCs w:val="17"/>
        </w:rPr>
        <w:t xml:space="preserve">Se informa </w:t>
      </w:r>
      <w:r w:rsidR="0081323F">
        <w:rPr>
          <w:rFonts w:ascii="Arial" w:eastAsia="Calibri" w:hAnsi="Arial" w:cs="Arial"/>
          <w:spacing w:val="-1"/>
          <w:sz w:val="17"/>
          <w:szCs w:val="17"/>
        </w:rPr>
        <w:t xml:space="preserve">el saldo de la cuenta de </w:t>
      </w:r>
      <w:r w:rsidR="0081323F" w:rsidRPr="0081323F">
        <w:rPr>
          <w:rFonts w:ascii="Arial" w:eastAsia="Calibri" w:hAnsi="Arial" w:cs="Arial"/>
          <w:spacing w:val="-1"/>
          <w:sz w:val="17"/>
          <w:szCs w:val="17"/>
        </w:rPr>
        <w:t xml:space="preserve">Fondos en Garantía a Largo Plazo </w:t>
      </w:r>
      <w:r w:rsidRPr="008918A4">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Pr>
          <w:rFonts w:ascii="Arial" w:eastAsia="Calibri" w:hAnsi="Arial" w:cs="Arial"/>
          <w:spacing w:val="-1"/>
          <w:sz w:val="17"/>
          <w:szCs w:val="17"/>
        </w:rPr>
        <w:t xml:space="preserve"> d</w:t>
      </w:r>
      <w:r w:rsidRPr="008918A4">
        <w:rPr>
          <w:rFonts w:ascii="Arial" w:eastAsia="Calibri" w:hAnsi="Arial" w:cs="Arial"/>
          <w:spacing w:val="-1"/>
          <w:sz w:val="17"/>
          <w:szCs w:val="17"/>
        </w:rPr>
        <w:t xml:space="preserve">el </w:t>
      </w:r>
      <w:proofErr w:type="spellStart"/>
      <w:r w:rsidR="0081323F">
        <w:rPr>
          <w:rFonts w:ascii="Arial" w:eastAsia="Calibri" w:hAnsi="Arial" w:cs="Arial"/>
          <w:spacing w:val="-1"/>
          <w:sz w:val="17"/>
          <w:szCs w:val="17"/>
        </w:rPr>
        <w:t>es</w:t>
      </w:r>
      <w:proofErr w:type="spellEnd"/>
      <w:r w:rsidR="0081323F">
        <w:rPr>
          <w:rFonts w:ascii="Arial" w:eastAsia="Calibri" w:hAnsi="Arial" w:cs="Arial"/>
          <w:spacing w:val="-1"/>
          <w:sz w:val="17"/>
          <w:szCs w:val="17"/>
        </w:rPr>
        <w:t xml:space="preserve"> de</w:t>
      </w:r>
      <w:r w:rsidR="0081323F" w:rsidRPr="0081323F">
        <w:t xml:space="preserve"> </w:t>
      </w:r>
      <w:r w:rsidR="0081323F" w:rsidRPr="0081323F">
        <w:rPr>
          <w:rFonts w:ascii="Arial" w:eastAsia="Calibri" w:hAnsi="Arial" w:cs="Arial"/>
          <w:spacing w:val="-1"/>
          <w:sz w:val="17"/>
          <w:szCs w:val="17"/>
        </w:rPr>
        <w:t>26</w:t>
      </w:r>
      <w:proofErr w:type="gramStart"/>
      <w:r w:rsidR="0081323F" w:rsidRPr="0081323F">
        <w:rPr>
          <w:rFonts w:ascii="Arial" w:eastAsia="Calibri" w:hAnsi="Arial" w:cs="Arial"/>
          <w:spacing w:val="-1"/>
          <w:sz w:val="17"/>
          <w:szCs w:val="17"/>
        </w:rPr>
        <w:t>,609,313</w:t>
      </w:r>
      <w:proofErr w:type="gramEnd"/>
      <w:r w:rsidR="0081323F">
        <w:rPr>
          <w:rFonts w:ascii="Arial" w:eastAsia="Calibri" w:hAnsi="Arial" w:cs="Arial"/>
          <w:spacing w:val="-1"/>
          <w:sz w:val="17"/>
          <w:szCs w:val="17"/>
        </w:rPr>
        <w:t xml:space="preserve"> y corresponde a la </w:t>
      </w:r>
      <w:r w:rsidR="0081323F" w:rsidRPr="0081323F">
        <w:rPr>
          <w:rFonts w:ascii="Arial" w:eastAsia="Calibri" w:hAnsi="Arial" w:cs="Arial"/>
          <w:spacing w:val="-1"/>
          <w:sz w:val="17"/>
          <w:szCs w:val="17"/>
        </w:rPr>
        <w:t>Fiscalía General del Estado</w:t>
      </w:r>
      <w:r w:rsidR="0081323F">
        <w:rPr>
          <w:rFonts w:ascii="Arial" w:eastAsia="Calibri" w:hAnsi="Arial" w:cs="Arial"/>
          <w:spacing w:val="-1"/>
          <w:sz w:val="17"/>
          <w:szCs w:val="17"/>
        </w:rPr>
        <w:t>.</w:t>
      </w:r>
    </w:p>
    <w:p w:rsidR="00C41BE6" w:rsidRDefault="00C41BE6" w:rsidP="004A1BCC">
      <w:pPr>
        <w:rPr>
          <w:rFonts w:ascii="Arial" w:eastAsia="Calibri" w:hAnsi="Arial" w:cs="Arial"/>
          <w:spacing w:val="-1"/>
          <w:sz w:val="17"/>
          <w:szCs w:val="17"/>
        </w:rPr>
      </w:pPr>
    </w:p>
    <w:p w:rsidR="00C41BE6" w:rsidRDefault="00C41BE6">
      <w:pPr>
        <w:rPr>
          <w:rFonts w:ascii="Arial" w:eastAsia="Calibri" w:hAnsi="Arial" w:cs="Arial"/>
          <w:spacing w:val="-1"/>
          <w:sz w:val="17"/>
          <w:szCs w:val="17"/>
        </w:rPr>
      </w:pPr>
      <w:r>
        <w:rPr>
          <w:rFonts w:ascii="Arial" w:eastAsia="Calibri" w:hAnsi="Arial" w:cs="Arial"/>
          <w:spacing w:val="-1"/>
          <w:sz w:val="17"/>
          <w:szCs w:val="17"/>
        </w:rPr>
        <w:br w:type="page"/>
      </w:r>
    </w:p>
    <w:p w:rsidR="00CF338E" w:rsidRPr="00F15CC6" w:rsidRDefault="00CF338E"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F15CC6">
        <w:rPr>
          <w:rFonts w:ascii="Arial" w:hAnsi="Arial" w:cs="Arial"/>
          <w:b/>
          <w:sz w:val="17"/>
          <w:szCs w:val="17"/>
        </w:rPr>
        <w:lastRenderedPageBreak/>
        <w:t>Notas al Estado de Actividades</w:t>
      </w:r>
    </w:p>
    <w:p w:rsidR="00DD12CE" w:rsidRDefault="00DD12CE" w:rsidP="00CF338E">
      <w:pPr>
        <w:autoSpaceDE w:val="0"/>
        <w:autoSpaceDN w:val="0"/>
        <w:adjustRightInd w:val="0"/>
        <w:spacing w:before="240" w:after="120"/>
        <w:jc w:val="both"/>
        <w:rPr>
          <w:rFonts w:ascii="Arial" w:hAnsi="Arial" w:cs="Arial"/>
          <w:b/>
          <w:sz w:val="17"/>
          <w:szCs w:val="17"/>
        </w:rPr>
      </w:pPr>
    </w:p>
    <w:p w:rsidR="00CF338E" w:rsidRPr="00DD12CE" w:rsidRDefault="000008C2"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DD12CE">
        <w:rPr>
          <w:rFonts w:ascii="Arial" w:hAnsi="Arial" w:cs="Arial"/>
          <w:b/>
          <w:sz w:val="17"/>
          <w:szCs w:val="17"/>
        </w:rPr>
        <w:t>Ingresos de gestión</w:t>
      </w:r>
    </w:p>
    <w:p w:rsidR="000008C2" w:rsidRPr="002D70DA" w:rsidRDefault="000008C2" w:rsidP="00DD12C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w:t>
      </w:r>
      <w:r w:rsidR="007C302E">
        <w:rPr>
          <w:rFonts w:ascii="Arial" w:eastAsia="Calibri" w:hAnsi="Arial" w:cs="Arial"/>
          <w:spacing w:val="-1"/>
          <w:sz w:val="17"/>
          <w:szCs w:val="17"/>
        </w:rPr>
        <w:t>e ingresos por venta de bienes de servicios</w:t>
      </w:r>
      <w:r w:rsidRPr="002D70DA">
        <w:rPr>
          <w:rFonts w:ascii="Arial" w:eastAsia="Calibri" w:hAnsi="Arial" w:cs="Arial"/>
          <w:spacing w:val="-1"/>
          <w:sz w:val="17"/>
          <w:szCs w:val="17"/>
        </w:rPr>
        <w:t xml:space="preserve">, se informa los montos totales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BA6C55">
        <w:trPr>
          <w:trHeight w:val="143"/>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0008C2" w:rsidRPr="002D70DA" w:rsidRDefault="00F9045D">
            <w:pPr>
              <w:jc w:val="center"/>
              <w:rPr>
                <w:rFonts w:ascii="Arial" w:hAnsi="Arial" w:cs="Arial"/>
                <w:b/>
                <w:bCs/>
                <w:color w:val="000000"/>
                <w:sz w:val="17"/>
                <w:szCs w:val="17"/>
              </w:rPr>
            </w:pPr>
            <w:r w:rsidRPr="002D70DA">
              <w:rPr>
                <w:rFonts w:ascii="Arial" w:hAnsi="Arial" w:cs="Arial"/>
                <w:b/>
                <w:bCs/>
                <w:color w:val="000000"/>
                <w:sz w:val="17"/>
                <w:szCs w:val="17"/>
              </w:rPr>
              <w:t>C</w:t>
            </w:r>
            <w:r w:rsidR="00882163">
              <w:rPr>
                <w:rFonts w:ascii="Arial" w:hAnsi="Arial" w:cs="Arial"/>
                <w:b/>
                <w:bCs/>
                <w:color w:val="000000"/>
                <w:sz w:val="17"/>
                <w:szCs w:val="17"/>
              </w:rPr>
              <w:t>uenta</w:t>
            </w:r>
            <w:r w:rsidRPr="002D70DA">
              <w:rPr>
                <w:rFonts w:ascii="Arial" w:hAnsi="Arial" w:cs="Arial"/>
                <w:b/>
                <w:bCs/>
                <w:color w:val="000000"/>
                <w:sz w:val="17"/>
                <w:szCs w:val="17"/>
              </w:rPr>
              <w:t xml:space="preserve"> de ingresos: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0008C2" w:rsidRPr="002D70DA" w:rsidRDefault="009831D5">
            <w:pPr>
              <w:jc w:val="center"/>
              <w:rPr>
                <w:rFonts w:ascii="Arial" w:hAnsi="Arial" w:cs="Arial"/>
                <w:b/>
                <w:bCs/>
                <w:color w:val="000000"/>
                <w:sz w:val="17"/>
                <w:szCs w:val="17"/>
              </w:rPr>
            </w:pPr>
            <w:r>
              <w:rPr>
                <w:rFonts w:ascii="Arial" w:hAnsi="Arial" w:cs="Arial"/>
                <w:b/>
                <w:bCs/>
                <w:color w:val="000000"/>
                <w:sz w:val="17"/>
                <w:szCs w:val="17"/>
              </w:rPr>
              <w:t>2018</w:t>
            </w:r>
          </w:p>
        </w:tc>
      </w:tr>
      <w:tr w:rsidR="00BA6C55" w:rsidRPr="001E79D9" w:rsidTr="00BA6C5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A6C55" w:rsidRPr="00826886" w:rsidRDefault="00BA6C55" w:rsidP="00BA6C55">
            <w:pPr>
              <w:rPr>
                <w:rFonts w:ascii="Arial" w:hAnsi="Arial" w:cs="Arial"/>
                <w:sz w:val="17"/>
                <w:szCs w:val="17"/>
              </w:rPr>
            </w:pPr>
            <w:r w:rsidRPr="00826886">
              <w:rPr>
                <w:rFonts w:ascii="Arial" w:hAnsi="Arial" w:cs="Arial"/>
                <w:sz w:val="17"/>
                <w:szCs w:val="17"/>
              </w:rPr>
              <w:t>Derechos</w:t>
            </w:r>
          </w:p>
        </w:tc>
        <w:tc>
          <w:tcPr>
            <w:tcW w:w="2180" w:type="dxa"/>
            <w:tcBorders>
              <w:top w:val="nil"/>
              <w:left w:val="nil"/>
              <w:bottom w:val="single" w:sz="4" w:space="0" w:color="auto"/>
              <w:right w:val="single" w:sz="4" w:space="0" w:color="auto"/>
            </w:tcBorders>
            <w:shd w:val="clear" w:color="auto" w:fill="auto"/>
          </w:tcPr>
          <w:p w:rsidR="00BA6C55" w:rsidRPr="00BA6C55" w:rsidRDefault="00BA6C55" w:rsidP="00BA6C55">
            <w:pPr>
              <w:jc w:val="right"/>
              <w:rPr>
                <w:rFonts w:ascii="Arial" w:hAnsi="Arial" w:cs="Arial"/>
                <w:sz w:val="17"/>
                <w:szCs w:val="17"/>
              </w:rPr>
            </w:pPr>
            <w:r w:rsidRPr="00BA6C55">
              <w:rPr>
                <w:rFonts w:ascii="Arial" w:hAnsi="Arial" w:cs="Arial"/>
                <w:sz w:val="17"/>
                <w:szCs w:val="17"/>
              </w:rPr>
              <w:t>31,019,010</w:t>
            </w:r>
          </w:p>
        </w:tc>
        <w:tc>
          <w:tcPr>
            <w:tcW w:w="2180" w:type="dxa"/>
            <w:tcBorders>
              <w:top w:val="nil"/>
              <w:left w:val="nil"/>
              <w:bottom w:val="single" w:sz="4" w:space="0" w:color="auto"/>
              <w:right w:val="single" w:sz="4" w:space="0" w:color="auto"/>
            </w:tcBorders>
            <w:shd w:val="clear" w:color="auto" w:fill="auto"/>
          </w:tcPr>
          <w:p w:rsidR="00BA6C55" w:rsidRPr="00BA6C55" w:rsidRDefault="00BA6C55" w:rsidP="00BA6C55">
            <w:pPr>
              <w:jc w:val="right"/>
              <w:rPr>
                <w:rFonts w:ascii="Arial" w:hAnsi="Arial" w:cs="Arial"/>
                <w:sz w:val="17"/>
                <w:szCs w:val="17"/>
              </w:rPr>
            </w:pPr>
            <w:r w:rsidRPr="00BA6C55">
              <w:rPr>
                <w:rFonts w:ascii="Arial" w:hAnsi="Arial" w:cs="Arial"/>
                <w:sz w:val="17"/>
                <w:szCs w:val="17"/>
              </w:rPr>
              <w:t>32,411,242</w:t>
            </w:r>
          </w:p>
        </w:tc>
      </w:tr>
      <w:tr w:rsidR="00BA6C55" w:rsidRPr="001E79D9" w:rsidTr="00BA6C5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A6C55" w:rsidRPr="00826886" w:rsidRDefault="00BA6C55" w:rsidP="00BA6C55">
            <w:pPr>
              <w:rPr>
                <w:rFonts w:ascii="Arial" w:hAnsi="Arial" w:cs="Arial"/>
                <w:sz w:val="17"/>
                <w:szCs w:val="17"/>
              </w:rPr>
            </w:pPr>
            <w:r w:rsidRPr="00826886">
              <w:rPr>
                <w:rFonts w:ascii="Arial" w:hAnsi="Arial" w:cs="Arial"/>
                <w:sz w:val="17"/>
                <w:szCs w:val="17"/>
              </w:rPr>
              <w:t>Productos de Tipo Corriente</w:t>
            </w:r>
          </w:p>
        </w:tc>
        <w:tc>
          <w:tcPr>
            <w:tcW w:w="2180" w:type="dxa"/>
            <w:tcBorders>
              <w:top w:val="nil"/>
              <w:left w:val="nil"/>
              <w:bottom w:val="single" w:sz="4" w:space="0" w:color="auto"/>
              <w:right w:val="single" w:sz="4" w:space="0" w:color="auto"/>
            </w:tcBorders>
            <w:shd w:val="clear" w:color="auto" w:fill="auto"/>
          </w:tcPr>
          <w:p w:rsidR="00BA6C55" w:rsidRPr="00BA6C55" w:rsidRDefault="00BA6C55" w:rsidP="00BA6C55">
            <w:pPr>
              <w:jc w:val="right"/>
              <w:rPr>
                <w:rFonts w:ascii="Arial" w:hAnsi="Arial" w:cs="Arial"/>
                <w:sz w:val="17"/>
                <w:szCs w:val="17"/>
              </w:rPr>
            </w:pPr>
            <w:r w:rsidRPr="00BA6C55">
              <w:rPr>
                <w:rFonts w:ascii="Arial" w:hAnsi="Arial" w:cs="Arial"/>
                <w:sz w:val="17"/>
                <w:szCs w:val="17"/>
              </w:rPr>
              <w:t>662</w:t>
            </w:r>
          </w:p>
        </w:tc>
        <w:tc>
          <w:tcPr>
            <w:tcW w:w="2180" w:type="dxa"/>
            <w:tcBorders>
              <w:top w:val="nil"/>
              <w:left w:val="nil"/>
              <w:bottom w:val="single" w:sz="4" w:space="0" w:color="auto"/>
              <w:right w:val="single" w:sz="4" w:space="0" w:color="auto"/>
            </w:tcBorders>
            <w:shd w:val="clear" w:color="auto" w:fill="auto"/>
          </w:tcPr>
          <w:p w:rsidR="00BA6C55" w:rsidRPr="00BA6C55" w:rsidRDefault="00BA6C55" w:rsidP="00BA6C55">
            <w:pPr>
              <w:jc w:val="right"/>
              <w:rPr>
                <w:rFonts w:ascii="Arial" w:hAnsi="Arial" w:cs="Arial"/>
                <w:sz w:val="17"/>
                <w:szCs w:val="17"/>
              </w:rPr>
            </w:pPr>
            <w:r w:rsidRPr="00BA6C55">
              <w:rPr>
                <w:rFonts w:ascii="Arial" w:hAnsi="Arial" w:cs="Arial"/>
                <w:sz w:val="17"/>
                <w:szCs w:val="17"/>
              </w:rPr>
              <w:t>686</w:t>
            </w:r>
          </w:p>
        </w:tc>
      </w:tr>
      <w:tr w:rsidR="00BA6C55" w:rsidRPr="001E79D9" w:rsidTr="00BA6C5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A6C55" w:rsidRPr="00826886" w:rsidRDefault="00BA6C55" w:rsidP="00BA6C55">
            <w:pPr>
              <w:rPr>
                <w:rFonts w:ascii="Arial" w:hAnsi="Arial" w:cs="Arial"/>
                <w:sz w:val="17"/>
                <w:szCs w:val="17"/>
              </w:rPr>
            </w:pPr>
            <w:r w:rsidRPr="00826886">
              <w:rPr>
                <w:rFonts w:ascii="Arial" w:hAnsi="Arial" w:cs="Arial"/>
                <w:sz w:val="17"/>
                <w:szCs w:val="17"/>
              </w:rPr>
              <w:t>Aprovechamientos de Tipo Corriente</w:t>
            </w:r>
          </w:p>
        </w:tc>
        <w:tc>
          <w:tcPr>
            <w:tcW w:w="2180" w:type="dxa"/>
            <w:tcBorders>
              <w:top w:val="nil"/>
              <w:left w:val="nil"/>
              <w:bottom w:val="single" w:sz="4" w:space="0" w:color="auto"/>
              <w:right w:val="single" w:sz="4" w:space="0" w:color="auto"/>
            </w:tcBorders>
            <w:shd w:val="clear" w:color="auto" w:fill="auto"/>
          </w:tcPr>
          <w:p w:rsidR="00BA6C55" w:rsidRPr="00BA6C55" w:rsidRDefault="00BA6C55" w:rsidP="00BA6C55">
            <w:pPr>
              <w:jc w:val="right"/>
              <w:rPr>
                <w:rFonts w:ascii="Arial" w:hAnsi="Arial" w:cs="Arial"/>
                <w:sz w:val="17"/>
                <w:szCs w:val="17"/>
              </w:rPr>
            </w:pPr>
            <w:r w:rsidRPr="00BA6C55">
              <w:rPr>
                <w:rFonts w:ascii="Arial" w:hAnsi="Arial" w:cs="Arial"/>
                <w:sz w:val="17"/>
                <w:szCs w:val="17"/>
              </w:rPr>
              <w:t>1,203,220</w:t>
            </w:r>
          </w:p>
        </w:tc>
        <w:tc>
          <w:tcPr>
            <w:tcW w:w="2180" w:type="dxa"/>
            <w:tcBorders>
              <w:top w:val="nil"/>
              <w:left w:val="nil"/>
              <w:bottom w:val="single" w:sz="4" w:space="0" w:color="auto"/>
              <w:right w:val="single" w:sz="4" w:space="0" w:color="auto"/>
            </w:tcBorders>
            <w:shd w:val="clear" w:color="auto" w:fill="auto"/>
          </w:tcPr>
          <w:p w:rsidR="00BA6C55" w:rsidRPr="00BA6C55" w:rsidRDefault="00BA6C55" w:rsidP="00BA6C55">
            <w:pPr>
              <w:jc w:val="right"/>
              <w:rPr>
                <w:rFonts w:ascii="Arial" w:hAnsi="Arial" w:cs="Arial"/>
                <w:sz w:val="17"/>
                <w:szCs w:val="17"/>
              </w:rPr>
            </w:pPr>
            <w:r w:rsidRPr="00BA6C55">
              <w:rPr>
                <w:rFonts w:ascii="Arial" w:hAnsi="Arial" w:cs="Arial"/>
                <w:sz w:val="17"/>
                <w:szCs w:val="17"/>
              </w:rPr>
              <w:t>8,007,757</w:t>
            </w:r>
          </w:p>
        </w:tc>
      </w:tr>
      <w:tr w:rsidR="00BA6C55" w:rsidRPr="001E79D9" w:rsidTr="00BA6C55">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BA6C55" w:rsidRPr="00826886" w:rsidRDefault="00BA6C55" w:rsidP="00BA6C55">
            <w:pPr>
              <w:rPr>
                <w:rFonts w:ascii="Arial" w:hAnsi="Arial" w:cs="Arial"/>
                <w:sz w:val="17"/>
                <w:szCs w:val="17"/>
              </w:rPr>
            </w:pPr>
            <w:r w:rsidRPr="00826886">
              <w:rPr>
                <w:rFonts w:ascii="Arial" w:hAnsi="Arial" w:cs="Arial"/>
                <w:sz w:val="17"/>
                <w:szCs w:val="17"/>
              </w:rPr>
              <w:t>Ingresos por Venta de Bienes y Servicios</w:t>
            </w:r>
          </w:p>
        </w:tc>
        <w:tc>
          <w:tcPr>
            <w:tcW w:w="2180" w:type="dxa"/>
            <w:tcBorders>
              <w:top w:val="nil"/>
              <w:left w:val="nil"/>
              <w:bottom w:val="single" w:sz="4" w:space="0" w:color="auto"/>
              <w:right w:val="single" w:sz="4" w:space="0" w:color="auto"/>
            </w:tcBorders>
            <w:shd w:val="clear" w:color="auto" w:fill="auto"/>
          </w:tcPr>
          <w:p w:rsidR="00BA6C55" w:rsidRPr="00BA6C55" w:rsidRDefault="00BA6C55" w:rsidP="00BA6C55">
            <w:pPr>
              <w:jc w:val="right"/>
              <w:rPr>
                <w:rFonts w:ascii="Arial" w:hAnsi="Arial" w:cs="Arial"/>
                <w:sz w:val="17"/>
                <w:szCs w:val="17"/>
              </w:rPr>
            </w:pPr>
            <w:r w:rsidRPr="00BA6C55">
              <w:rPr>
                <w:rFonts w:ascii="Arial" w:hAnsi="Arial" w:cs="Arial"/>
                <w:sz w:val="17"/>
                <w:szCs w:val="17"/>
              </w:rPr>
              <w:t>5,154</w:t>
            </w:r>
          </w:p>
        </w:tc>
        <w:tc>
          <w:tcPr>
            <w:tcW w:w="2180" w:type="dxa"/>
            <w:tcBorders>
              <w:top w:val="nil"/>
              <w:left w:val="nil"/>
              <w:bottom w:val="single" w:sz="4" w:space="0" w:color="auto"/>
              <w:right w:val="single" w:sz="4" w:space="0" w:color="auto"/>
            </w:tcBorders>
            <w:shd w:val="clear" w:color="auto" w:fill="auto"/>
          </w:tcPr>
          <w:p w:rsidR="00BA6C55" w:rsidRPr="00BA6C55" w:rsidRDefault="00BA6C55" w:rsidP="00BA6C55">
            <w:pPr>
              <w:jc w:val="right"/>
              <w:rPr>
                <w:rFonts w:ascii="Arial" w:hAnsi="Arial" w:cs="Arial"/>
                <w:sz w:val="17"/>
                <w:szCs w:val="17"/>
              </w:rPr>
            </w:pPr>
            <w:r w:rsidRPr="00BA6C55">
              <w:rPr>
                <w:rFonts w:ascii="Arial" w:hAnsi="Arial" w:cs="Arial"/>
                <w:sz w:val="17"/>
                <w:szCs w:val="17"/>
              </w:rPr>
              <w:t>38,625</w:t>
            </w:r>
          </w:p>
        </w:tc>
      </w:tr>
      <w:tr w:rsidR="00BA6C55" w:rsidRPr="002D70DA" w:rsidTr="00BA6C55">
        <w:trPr>
          <w:trHeight w:val="240"/>
          <w:jc w:val="center"/>
        </w:trPr>
        <w:tc>
          <w:tcPr>
            <w:tcW w:w="4900" w:type="dxa"/>
            <w:tcBorders>
              <w:top w:val="nil"/>
              <w:left w:val="nil"/>
              <w:bottom w:val="nil"/>
              <w:right w:val="nil"/>
            </w:tcBorders>
            <w:shd w:val="clear" w:color="000000" w:fill="FFFFFF"/>
            <w:vAlign w:val="center"/>
            <w:hideMark/>
          </w:tcPr>
          <w:p w:rsidR="00BA6C55" w:rsidRPr="002D70DA" w:rsidRDefault="00BA6C55" w:rsidP="00BA6C55">
            <w:pPr>
              <w:jc w:val="center"/>
              <w:rPr>
                <w:rFonts w:ascii="Arial" w:hAnsi="Arial" w:cs="Arial"/>
                <w:b/>
                <w:bCs/>
                <w:color w:val="000000"/>
                <w:sz w:val="17"/>
                <w:szCs w:val="17"/>
              </w:rPr>
            </w:pPr>
            <w:r>
              <w:rPr>
                <w:rFonts w:ascii="Arial" w:hAnsi="Arial" w:cs="Arial"/>
                <w:b/>
                <w:bCs/>
                <w:color w:val="000000"/>
                <w:sz w:val="17"/>
                <w:szCs w:val="17"/>
              </w:rPr>
              <w:t>Ingresos de Gestión</w:t>
            </w:r>
          </w:p>
        </w:tc>
        <w:tc>
          <w:tcPr>
            <w:tcW w:w="2180" w:type="dxa"/>
            <w:tcBorders>
              <w:top w:val="nil"/>
              <w:left w:val="single" w:sz="4" w:space="0" w:color="auto"/>
              <w:bottom w:val="single" w:sz="4" w:space="0" w:color="auto"/>
              <w:right w:val="single" w:sz="4" w:space="0" w:color="auto"/>
            </w:tcBorders>
            <w:shd w:val="clear" w:color="000000" w:fill="FFFFFF"/>
          </w:tcPr>
          <w:p w:rsidR="00BA6C55" w:rsidRPr="00BA6C55" w:rsidRDefault="00BA6C55" w:rsidP="00BA6C55">
            <w:pPr>
              <w:jc w:val="right"/>
              <w:rPr>
                <w:rFonts w:ascii="Arial" w:hAnsi="Arial" w:cs="Arial"/>
                <w:b/>
                <w:sz w:val="17"/>
                <w:szCs w:val="17"/>
              </w:rPr>
            </w:pPr>
            <w:r w:rsidRPr="00BA6C55">
              <w:rPr>
                <w:rFonts w:ascii="Arial" w:hAnsi="Arial" w:cs="Arial"/>
                <w:b/>
                <w:sz w:val="17"/>
                <w:szCs w:val="17"/>
              </w:rPr>
              <w:t>32,228,046</w:t>
            </w:r>
          </w:p>
        </w:tc>
        <w:tc>
          <w:tcPr>
            <w:tcW w:w="2180" w:type="dxa"/>
            <w:tcBorders>
              <w:top w:val="single" w:sz="4" w:space="0" w:color="auto"/>
              <w:left w:val="nil"/>
              <w:bottom w:val="single" w:sz="4" w:space="0" w:color="auto"/>
              <w:right w:val="single" w:sz="4" w:space="0" w:color="auto"/>
            </w:tcBorders>
            <w:shd w:val="clear" w:color="000000" w:fill="FFFFFF"/>
            <w:noWrap/>
          </w:tcPr>
          <w:p w:rsidR="00BA6C55" w:rsidRPr="00BA6C55" w:rsidRDefault="00BA6C55" w:rsidP="00BA6C55">
            <w:pPr>
              <w:jc w:val="right"/>
              <w:rPr>
                <w:rFonts w:ascii="Arial" w:hAnsi="Arial" w:cs="Arial"/>
                <w:b/>
                <w:sz w:val="17"/>
                <w:szCs w:val="17"/>
              </w:rPr>
            </w:pPr>
            <w:r w:rsidRPr="00BA6C55">
              <w:rPr>
                <w:rFonts w:ascii="Arial" w:hAnsi="Arial" w:cs="Arial"/>
                <w:b/>
                <w:sz w:val="17"/>
                <w:szCs w:val="17"/>
              </w:rPr>
              <w:t>40,458,311</w:t>
            </w:r>
          </w:p>
        </w:tc>
      </w:tr>
    </w:tbl>
    <w:p w:rsidR="00041BED" w:rsidRDefault="00041BED" w:rsidP="00CF338E">
      <w:pPr>
        <w:spacing w:before="80" w:line="250" w:lineRule="exact"/>
        <w:ind w:left="709"/>
        <w:jc w:val="both"/>
        <w:rPr>
          <w:rFonts w:ascii="Arial" w:eastAsia="Calibri" w:hAnsi="Arial" w:cs="Arial"/>
          <w:spacing w:val="-1"/>
          <w:sz w:val="17"/>
          <w:szCs w:val="17"/>
        </w:rPr>
      </w:pPr>
    </w:p>
    <w:p w:rsidR="00752A6C" w:rsidRDefault="00752A6C" w:rsidP="00752A6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Los cuales están distribuido de la siguiente manera:</w:t>
      </w:r>
    </w:p>
    <w:p w:rsidR="00752A6C" w:rsidRPr="002D70DA" w:rsidRDefault="00752A6C" w:rsidP="00752A6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E3E0F" w:rsidRPr="002D70DA" w:rsidTr="00BA6C5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E3E0F" w:rsidRPr="002D70DA" w:rsidRDefault="003E3E0F"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E3E0F"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DE1D8F" w:rsidRPr="002D70DA" w:rsidTr="00BA6C5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560A6D" w:rsidRDefault="00DE1D8F" w:rsidP="00DE1D8F">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176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38,625 </w:t>
            </w:r>
          </w:p>
        </w:tc>
      </w:tr>
      <w:tr w:rsidR="00DE1D8F" w:rsidRPr="002D70DA" w:rsidTr="00BA6C5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ind w:left="497"/>
              <w:rPr>
                <w:rFonts w:ascii="Arial" w:hAnsi="Arial" w:cs="Arial"/>
                <w:sz w:val="17"/>
                <w:szCs w:val="17"/>
              </w:rPr>
            </w:pPr>
            <w:r w:rsidRPr="00C34218">
              <w:rPr>
                <w:rFonts w:ascii="Arial" w:hAnsi="Arial" w:cs="Arial"/>
                <w:sz w:val="17"/>
                <w:szCs w:val="17"/>
              </w:rPr>
              <w:t>Entidad Superior de Fiscalización del Estado de</w:t>
            </w:r>
          </w:p>
          <w:p w:rsidR="00DE1D8F" w:rsidRPr="00C34218" w:rsidRDefault="00DE1D8F" w:rsidP="00DE1D8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25,347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0 </w:t>
            </w:r>
          </w:p>
        </w:tc>
      </w:tr>
      <w:tr w:rsidR="00DE1D8F" w:rsidRPr="002D70DA" w:rsidTr="00BA6C5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32,176,115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38,030,312 </w:t>
            </w:r>
          </w:p>
        </w:tc>
      </w:tr>
      <w:tr w:rsidR="00DE1D8F" w:rsidRPr="002D70DA" w:rsidTr="00BA6C5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560A6D" w:rsidRDefault="00DE1D8F" w:rsidP="00DE1D8F">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5,154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2,377,062 </w:t>
            </w:r>
          </w:p>
        </w:tc>
      </w:tr>
      <w:tr w:rsidR="00DE1D8F" w:rsidRPr="002D70DA" w:rsidTr="00BA6C5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C34218" w:rsidRDefault="00DE1D8F" w:rsidP="00DE1D8F">
            <w:pPr>
              <w:ind w:left="497"/>
              <w:rPr>
                <w:rFonts w:ascii="Arial" w:hAnsi="Arial" w:cs="Arial"/>
                <w:sz w:val="17"/>
                <w:szCs w:val="17"/>
              </w:rPr>
            </w:pPr>
            <w:r w:rsidRPr="00C34218">
              <w:rPr>
                <w:rFonts w:ascii="Arial" w:hAnsi="Arial" w:cs="Arial"/>
                <w:sz w:val="17"/>
                <w:szCs w:val="17"/>
              </w:rPr>
              <w:t>Tribunal de Justicia Administrativa del Estado de</w:t>
            </w:r>
          </w:p>
          <w:p w:rsidR="00DE1D8F" w:rsidRPr="00560A6D" w:rsidRDefault="00DE1D8F" w:rsidP="00DE1D8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21,254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686 </w:t>
            </w:r>
          </w:p>
        </w:tc>
      </w:tr>
      <w:tr w:rsidR="00DE1D8F" w:rsidRPr="002D70DA" w:rsidTr="00BA6C55">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DE1D8F" w:rsidRPr="00560A6D" w:rsidRDefault="00DE1D8F" w:rsidP="00DE1D8F">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auto"/>
          </w:tcPr>
          <w:p w:rsidR="00DE1D8F" w:rsidRPr="00DE1D8F" w:rsidRDefault="00DE1D8F" w:rsidP="00DE1D8F">
            <w:pPr>
              <w:jc w:val="right"/>
              <w:rPr>
                <w:rFonts w:ascii="Arial" w:hAnsi="Arial" w:cs="Arial"/>
                <w:sz w:val="17"/>
                <w:szCs w:val="17"/>
              </w:rPr>
            </w:pPr>
            <w:r w:rsidRPr="00DE1D8F">
              <w:rPr>
                <w:rFonts w:ascii="Arial" w:hAnsi="Arial" w:cs="Arial"/>
                <w:sz w:val="17"/>
                <w:szCs w:val="17"/>
              </w:rPr>
              <w:t xml:space="preserve">11,626 </w:t>
            </w:r>
          </w:p>
        </w:tc>
      </w:tr>
      <w:tr w:rsidR="00BA6C55" w:rsidRPr="002D70DA" w:rsidTr="00BA6C55">
        <w:trPr>
          <w:trHeight w:val="240"/>
          <w:jc w:val="center"/>
        </w:trPr>
        <w:tc>
          <w:tcPr>
            <w:tcW w:w="4900" w:type="dxa"/>
            <w:tcBorders>
              <w:top w:val="nil"/>
              <w:left w:val="nil"/>
              <w:bottom w:val="nil"/>
              <w:right w:val="single" w:sz="4" w:space="0" w:color="auto"/>
            </w:tcBorders>
            <w:shd w:val="clear" w:color="000000" w:fill="FFFFFF"/>
            <w:vAlign w:val="center"/>
            <w:hideMark/>
          </w:tcPr>
          <w:p w:rsidR="00BA6C55" w:rsidRPr="002D70DA" w:rsidRDefault="00BA6C55" w:rsidP="00BA6C55">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A6C55" w:rsidRPr="00BA6C55" w:rsidRDefault="00BA6C55" w:rsidP="00BA6C55">
            <w:pPr>
              <w:jc w:val="right"/>
              <w:rPr>
                <w:rFonts w:ascii="Arial" w:hAnsi="Arial" w:cs="Arial"/>
                <w:b/>
                <w:sz w:val="17"/>
                <w:szCs w:val="17"/>
              </w:rPr>
            </w:pPr>
            <w:r w:rsidRPr="00BA6C55">
              <w:rPr>
                <w:rFonts w:ascii="Arial" w:hAnsi="Arial" w:cs="Arial"/>
                <w:b/>
                <w:sz w:val="17"/>
                <w:szCs w:val="17"/>
              </w:rPr>
              <w:t xml:space="preserve">32,228,046 </w:t>
            </w:r>
          </w:p>
        </w:tc>
        <w:tc>
          <w:tcPr>
            <w:tcW w:w="2180" w:type="dxa"/>
            <w:tcBorders>
              <w:top w:val="nil"/>
              <w:left w:val="single" w:sz="4" w:space="0" w:color="auto"/>
              <w:bottom w:val="single" w:sz="4" w:space="0" w:color="auto"/>
              <w:right w:val="single" w:sz="4" w:space="0" w:color="auto"/>
            </w:tcBorders>
            <w:shd w:val="clear" w:color="000000" w:fill="FFFFFF"/>
          </w:tcPr>
          <w:p w:rsidR="00BA6C55" w:rsidRPr="00BA6C55" w:rsidRDefault="00BA6C55" w:rsidP="00BA6C55">
            <w:pPr>
              <w:jc w:val="right"/>
              <w:rPr>
                <w:rFonts w:ascii="Arial" w:hAnsi="Arial" w:cs="Arial"/>
                <w:b/>
                <w:sz w:val="17"/>
                <w:szCs w:val="17"/>
              </w:rPr>
            </w:pPr>
            <w:r w:rsidRPr="00BA6C55">
              <w:rPr>
                <w:rFonts w:ascii="Arial" w:hAnsi="Arial" w:cs="Arial"/>
                <w:b/>
                <w:sz w:val="17"/>
                <w:szCs w:val="17"/>
              </w:rPr>
              <w:t xml:space="preserve">40,458,311 </w:t>
            </w:r>
          </w:p>
        </w:tc>
      </w:tr>
    </w:tbl>
    <w:p w:rsidR="00F87E9E" w:rsidRDefault="00F87E9E">
      <w:pPr>
        <w:rPr>
          <w:rFonts w:ascii="Arial" w:eastAsia="Calibri" w:hAnsi="Arial" w:cs="Arial"/>
          <w:spacing w:val="-1"/>
          <w:sz w:val="17"/>
          <w:szCs w:val="17"/>
        </w:rPr>
      </w:pPr>
    </w:p>
    <w:p w:rsidR="003E3E0F" w:rsidRDefault="003E3E0F">
      <w:pPr>
        <w:rPr>
          <w:rFonts w:ascii="Arial" w:eastAsia="Calibri" w:hAnsi="Arial" w:cs="Arial"/>
          <w:spacing w:val="-1"/>
          <w:sz w:val="17"/>
          <w:szCs w:val="17"/>
        </w:rPr>
      </w:pPr>
      <w:r>
        <w:rPr>
          <w:rFonts w:ascii="Arial" w:eastAsia="Calibri" w:hAnsi="Arial" w:cs="Arial"/>
          <w:spacing w:val="-1"/>
          <w:sz w:val="17"/>
          <w:szCs w:val="17"/>
        </w:rPr>
        <w:br w:type="page"/>
      </w:r>
    </w:p>
    <w:p w:rsidR="005502D4" w:rsidRPr="002D70DA" w:rsidRDefault="005502D4" w:rsidP="005502D4">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De los rubros de </w:t>
      </w:r>
      <w:r w:rsidR="003A2688" w:rsidRPr="003A2688">
        <w:rPr>
          <w:rFonts w:ascii="Arial" w:eastAsia="Calibri" w:hAnsi="Arial" w:cs="Arial"/>
          <w:spacing w:val="-1"/>
          <w:sz w:val="17"/>
          <w:szCs w:val="17"/>
        </w:rPr>
        <w:t>Participaciones, Aportaciones, Convenios, Incentivos Derivados de la Colaboración Fiscal y Fondos Distintos de Aportaciones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sidR="005571BF">
        <w:rPr>
          <w:rFonts w:ascii="Arial" w:eastAsia="Calibri" w:hAnsi="Arial" w:cs="Arial"/>
          <w:spacing w:val="-1"/>
          <w:sz w:val="17"/>
          <w:szCs w:val="17"/>
        </w:rPr>
        <w:t xml:space="preserve">que el saldo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005571BF">
        <w:rPr>
          <w:rFonts w:ascii="Arial" w:eastAsia="Calibri" w:hAnsi="Arial" w:cs="Arial"/>
          <w:spacing w:val="-1"/>
          <w:sz w:val="17"/>
          <w:szCs w:val="17"/>
        </w:rPr>
        <w:t xml:space="preserve"> es</w:t>
      </w:r>
      <w:r w:rsidR="00F87E9E">
        <w:rPr>
          <w:rFonts w:ascii="Arial" w:eastAsia="Calibri" w:hAnsi="Arial" w:cs="Arial"/>
          <w:spacing w:val="-1"/>
          <w:sz w:val="17"/>
          <w:szCs w:val="17"/>
        </w:rPr>
        <w:t>:</w:t>
      </w:r>
    </w:p>
    <w:p w:rsidR="00F87E9E" w:rsidRDefault="00F87E9E" w:rsidP="00F87E9E">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F87E9E" w:rsidRPr="002D70DA" w:rsidTr="00511959">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F87E9E"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F87E9E"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F87E9E"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511959" w:rsidRPr="002D70DA" w:rsidTr="0051195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11959" w:rsidRPr="00E2754C" w:rsidRDefault="00511959" w:rsidP="00511959">
            <w:pPr>
              <w:rPr>
                <w:rFonts w:ascii="Arial" w:hAnsi="Arial" w:cs="Arial"/>
                <w:sz w:val="17"/>
                <w:szCs w:val="17"/>
              </w:rPr>
            </w:pPr>
            <w:r w:rsidRPr="00E2754C">
              <w:rPr>
                <w:rFonts w:ascii="Arial" w:hAnsi="Arial" w:cs="Arial"/>
                <w:sz w:val="17"/>
                <w:szCs w:val="17"/>
              </w:rPr>
              <w:t>Aportaciones</w:t>
            </w:r>
          </w:p>
        </w:tc>
        <w:tc>
          <w:tcPr>
            <w:tcW w:w="2091" w:type="dxa"/>
            <w:tcBorders>
              <w:top w:val="single" w:sz="4" w:space="0" w:color="auto"/>
              <w:left w:val="nil"/>
              <w:bottom w:val="single" w:sz="4" w:space="0" w:color="auto"/>
              <w:right w:val="single" w:sz="4" w:space="0" w:color="auto"/>
            </w:tcBorders>
            <w:shd w:val="clear" w:color="auto" w:fill="auto"/>
          </w:tcPr>
          <w:p w:rsidR="00511959" w:rsidRPr="00511959" w:rsidRDefault="00511959" w:rsidP="00511959">
            <w:pPr>
              <w:jc w:val="right"/>
              <w:rPr>
                <w:rFonts w:ascii="Arial" w:hAnsi="Arial" w:cs="Arial"/>
                <w:sz w:val="17"/>
                <w:szCs w:val="17"/>
              </w:rPr>
            </w:pPr>
            <w:r w:rsidRPr="00511959">
              <w:rPr>
                <w:rFonts w:ascii="Arial" w:hAnsi="Arial" w:cs="Arial"/>
                <w:sz w:val="17"/>
                <w:szCs w:val="17"/>
              </w:rPr>
              <w:t xml:space="preserve"> 57,430,273 </w:t>
            </w:r>
          </w:p>
        </w:tc>
        <w:tc>
          <w:tcPr>
            <w:tcW w:w="2148" w:type="dxa"/>
            <w:tcBorders>
              <w:top w:val="nil"/>
              <w:left w:val="single" w:sz="4" w:space="0" w:color="auto"/>
              <w:bottom w:val="single" w:sz="4" w:space="0" w:color="auto"/>
              <w:right w:val="single" w:sz="4" w:space="0" w:color="auto"/>
            </w:tcBorders>
            <w:shd w:val="clear" w:color="auto" w:fill="auto"/>
          </w:tcPr>
          <w:p w:rsidR="00511959" w:rsidRPr="00511959" w:rsidRDefault="00511959" w:rsidP="00511959">
            <w:pPr>
              <w:jc w:val="right"/>
              <w:rPr>
                <w:rFonts w:ascii="Arial" w:hAnsi="Arial" w:cs="Arial"/>
                <w:sz w:val="17"/>
                <w:szCs w:val="17"/>
              </w:rPr>
            </w:pPr>
            <w:r w:rsidRPr="00511959">
              <w:rPr>
                <w:rFonts w:ascii="Arial" w:hAnsi="Arial" w:cs="Arial"/>
                <w:sz w:val="17"/>
                <w:szCs w:val="17"/>
              </w:rPr>
              <w:t xml:space="preserve"> -   </w:t>
            </w:r>
          </w:p>
        </w:tc>
      </w:tr>
      <w:tr w:rsidR="00511959" w:rsidRPr="002D70DA" w:rsidTr="00511959">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511959" w:rsidRPr="00E2754C" w:rsidRDefault="00511959" w:rsidP="00511959">
            <w:pPr>
              <w:rPr>
                <w:rFonts w:ascii="Arial" w:hAnsi="Arial" w:cs="Arial"/>
                <w:sz w:val="17"/>
                <w:szCs w:val="17"/>
              </w:rPr>
            </w:pPr>
            <w:r w:rsidRPr="00E2754C">
              <w:rPr>
                <w:rFonts w:ascii="Arial" w:hAnsi="Arial" w:cs="Arial"/>
                <w:sz w:val="17"/>
                <w:szCs w:val="17"/>
              </w:rPr>
              <w:t>Convenios</w:t>
            </w:r>
          </w:p>
        </w:tc>
        <w:tc>
          <w:tcPr>
            <w:tcW w:w="2091" w:type="dxa"/>
            <w:tcBorders>
              <w:top w:val="single" w:sz="4" w:space="0" w:color="auto"/>
              <w:left w:val="nil"/>
              <w:bottom w:val="single" w:sz="4" w:space="0" w:color="auto"/>
              <w:right w:val="single" w:sz="4" w:space="0" w:color="auto"/>
            </w:tcBorders>
            <w:shd w:val="clear" w:color="auto" w:fill="auto"/>
          </w:tcPr>
          <w:p w:rsidR="00511959" w:rsidRPr="00511959" w:rsidRDefault="00511959" w:rsidP="00511959">
            <w:pPr>
              <w:jc w:val="right"/>
              <w:rPr>
                <w:rFonts w:ascii="Arial" w:hAnsi="Arial" w:cs="Arial"/>
                <w:sz w:val="17"/>
                <w:szCs w:val="17"/>
              </w:rPr>
            </w:pPr>
            <w:r w:rsidRPr="00511959">
              <w:rPr>
                <w:rFonts w:ascii="Arial" w:hAnsi="Arial" w:cs="Arial"/>
                <w:sz w:val="17"/>
                <w:szCs w:val="17"/>
              </w:rPr>
              <w:t xml:space="preserve"> 321,440 </w:t>
            </w:r>
          </w:p>
        </w:tc>
        <w:tc>
          <w:tcPr>
            <w:tcW w:w="2148" w:type="dxa"/>
            <w:tcBorders>
              <w:top w:val="nil"/>
              <w:left w:val="single" w:sz="4" w:space="0" w:color="auto"/>
              <w:bottom w:val="single" w:sz="4" w:space="0" w:color="auto"/>
              <w:right w:val="single" w:sz="4" w:space="0" w:color="auto"/>
            </w:tcBorders>
            <w:shd w:val="clear" w:color="auto" w:fill="auto"/>
          </w:tcPr>
          <w:p w:rsidR="00511959" w:rsidRPr="00511959" w:rsidRDefault="00511959" w:rsidP="00511959">
            <w:pPr>
              <w:jc w:val="right"/>
              <w:rPr>
                <w:rFonts w:ascii="Arial" w:hAnsi="Arial" w:cs="Arial"/>
                <w:sz w:val="17"/>
                <w:szCs w:val="17"/>
              </w:rPr>
            </w:pPr>
            <w:r w:rsidRPr="00511959">
              <w:rPr>
                <w:rFonts w:ascii="Arial" w:hAnsi="Arial" w:cs="Arial"/>
                <w:sz w:val="17"/>
                <w:szCs w:val="17"/>
              </w:rPr>
              <w:t xml:space="preserve"> -   </w:t>
            </w:r>
          </w:p>
        </w:tc>
      </w:tr>
      <w:tr w:rsidR="00511959" w:rsidRPr="002D70DA" w:rsidTr="00511959">
        <w:trPr>
          <w:trHeight w:val="240"/>
          <w:jc w:val="center"/>
        </w:trPr>
        <w:tc>
          <w:tcPr>
            <w:tcW w:w="4743" w:type="dxa"/>
            <w:tcBorders>
              <w:top w:val="single" w:sz="4" w:space="0" w:color="auto"/>
              <w:right w:val="single" w:sz="4" w:space="0" w:color="auto"/>
            </w:tcBorders>
            <w:shd w:val="clear" w:color="auto" w:fill="auto"/>
            <w:vAlign w:val="center"/>
          </w:tcPr>
          <w:p w:rsidR="00511959" w:rsidRPr="00F93CE5" w:rsidRDefault="00511959" w:rsidP="00511959">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511959" w:rsidRPr="00511959" w:rsidRDefault="00511959" w:rsidP="00511959">
            <w:pPr>
              <w:jc w:val="right"/>
              <w:rPr>
                <w:rFonts w:ascii="Arial" w:hAnsi="Arial" w:cs="Arial"/>
                <w:b/>
                <w:sz w:val="17"/>
                <w:szCs w:val="17"/>
              </w:rPr>
            </w:pPr>
            <w:r w:rsidRPr="00511959">
              <w:rPr>
                <w:rFonts w:ascii="Arial" w:hAnsi="Arial" w:cs="Arial"/>
                <w:b/>
                <w:sz w:val="17"/>
                <w:szCs w:val="17"/>
              </w:rPr>
              <w:t xml:space="preserve"> 57,751,713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511959" w:rsidRPr="00511959" w:rsidRDefault="00511959" w:rsidP="00511959">
            <w:pPr>
              <w:jc w:val="right"/>
              <w:rPr>
                <w:rFonts w:ascii="Arial" w:hAnsi="Arial" w:cs="Arial"/>
                <w:b/>
                <w:sz w:val="17"/>
                <w:szCs w:val="17"/>
              </w:rPr>
            </w:pPr>
            <w:r w:rsidRPr="00511959">
              <w:rPr>
                <w:rFonts w:ascii="Arial" w:hAnsi="Arial" w:cs="Arial"/>
                <w:b/>
                <w:sz w:val="17"/>
                <w:szCs w:val="17"/>
              </w:rPr>
              <w:t xml:space="preserve"> -   </w:t>
            </w:r>
          </w:p>
        </w:tc>
      </w:tr>
    </w:tbl>
    <w:p w:rsidR="00F15CC6" w:rsidRDefault="00F15CC6" w:rsidP="00F87E9E">
      <w:pPr>
        <w:autoSpaceDE w:val="0"/>
        <w:autoSpaceDN w:val="0"/>
        <w:adjustRightInd w:val="0"/>
        <w:spacing w:before="240" w:after="120"/>
        <w:ind w:left="709"/>
        <w:rPr>
          <w:rFonts w:ascii="Arial" w:eastAsia="Calibri" w:hAnsi="Arial" w:cs="Arial"/>
          <w:spacing w:val="-1"/>
          <w:sz w:val="17"/>
          <w:szCs w:val="17"/>
        </w:rPr>
      </w:pPr>
    </w:p>
    <w:p w:rsidR="00F87E9E" w:rsidRDefault="00F87E9E" w:rsidP="00F87E9E">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La cual está distribuido de la siguiente manera:</w:t>
      </w:r>
    </w:p>
    <w:p w:rsidR="00F87E9E" w:rsidRPr="002D70DA" w:rsidRDefault="00F87E9E" w:rsidP="00F87E9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A6342" w:rsidRPr="002D70DA" w:rsidTr="0051195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A6342" w:rsidRPr="002D70DA" w:rsidRDefault="004A6342" w:rsidP="00F338A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A634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A6342" w:rsidRPr="002D70DA" w:rsidRDefault="009831D5" w:rsidP="00F338A3">
            <w:pPr>
              <w:jc w:val="center"/>
              <w:rPr>
                <w:rFonts w:ascii="Arial" w:hAnsi="Arial" w:cs="Arial"/>
                <w:b/>
                <w:bCs/>
                <w:color w:val="000000"/>
                <w:sz w:val="17"/>
                <w:szCs w:val="17"/>
              </w:rPr>
            </w:pPr>
            <w:r>
              <w:rPr>
                <w:rFonts w:ascii="Arial" w:hAnsi="Arial" w:cs="Arial"/>
                <w:b/>
                <w:bCs/>
                <w:color w:val="000000"/>
                <w:sz w:val="17"/>
                <w:szCs w:val="17"/>
              </w:rPr>
              <w:t>2018</w:t>
            </w:r>
          </w:p>
        </w:tc>
      </w:tr>
      <w:tr w:rsidR="00E2754C" w:rsidRPr="002D70DA" w:rsidTr="0051195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E2754C" w:rsidRPr="00C34218" w:rsidRDefault="00E2754C" w:rsidP="00E2754C">
            <w:pPr>
              <w:ind w:left="497"/>
              <w:rPr>
                <w:rFonts w:ascii="Arial" w:hAnsi="Arial" w:cs="Arial"/>
                <w:sz w:val="17"/>
                <w:szCs w:val="17"/>
              </w:rPr>
            </w:pPr>
            <w:r w:rsidRPr="00C34218">
              <w:rPr>
                <w:rFonts w:ascii="Arial" w:hAnsi="Arial" w:cs="Arial"/>
                <w:sz w:val="17"/>
                <w:szCs w:val="17"/>
              </w:rPr>
              <w:t>Entidad Superior de Fiscalización del Estado de</w:t>
            </w:r>
          </w:p>
          <w:p w:rsidR="00E2754C" w:rsidRPr="00C34218" w:rsidRDefault="00E2754C" w:rsidP="00E2754C">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321,440 </w:t>
            </w:r>
          </w:p>
        </w:tc>
        <w:tc>
          <w:tcPr>
            <w:tcW w:w="2180" w:type="dxa"/>
            <w:tcBorders>
              <w:top w:val="single" w:sz="4" w:space="0" w:color="auto"/>
              <w:left w:val="nil"/>
              <w:bottom w:val="single" w:sz="4" w:space="0" w:color="auto"/>
              <w:right w:val="single" w:sz="4" w:space="0" w:color="auto"/>
            </w:tcBorders>
            <w:shd w:val="clear" w:color="auto" w:fill="auto"/>
          </w:tcPr>
          <w:p w:rsidR="00E2754C" w:rsidRPr="00E2754C" w:rsidRDefault="00E2754C" w:rsidP="00E2754C">
            <w:pPr>
              <w:jc w:val="right"/>
              <w:rPr>
                <w:rFonts w:ascii="Arial" w:hAnsi="Arial" w:cs="Arial"/>
                <w:sz w:val="17"/>
                <w:szCs w:val="17"/>
              </w:rPr>
            </w:pPr>
            <w:r w:rsidRPr="00E2754C">
              <w:rPr>
                <w:rFonts w:ascii="Arial" w:hAnsi="Arial" w:cs="Arial"/>
                <w:sz w:val="17"/>
                <w:szCs w:val="17"/>
              </w:rPr>
              <w:t xml:space="preserve">0 </w:t>
            </w:r>
          </w:p>
        </w:tc>
      </w:tr>
      <w:tr w:rsidR="00511959" w:rsidRPr="002D70DA" w:rsidTr="0051195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511959" w:rsidRPr="00C34218" w:rsidRDefault="00511959" w:rsidP="00E2754C">
            <w:pPr>
              <w:ind w:left="497"/>
              <w:rPr>
                <w:rFonts w:ascii="Arial" w:hAnsi="Arial" w:cs="Arial"/>
                <w:sz w:val="17"/>
                <w:szCs w:val="17"/>
              </w:rPr>
            </w:pPr>
            <w:r w:rsidRPr="00511959">
              <w:rPr>
                <w:rFonts w:ascii="Arial" w:hAnsi="Arial" w:cs="Arial"/>
                <w:sz w:val="17"/>
                <w:szCs w:val="17"/>
              </w:rPr>
              <w:t>Fiscalía General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511959" w:rsidRPr="00E2754C" w:rsidRDefault="00511959" w:rsidP="00E2754C">
            <w:pPr>
              <w:jc w:val="right"/>
              <w:rPr>
                <w:rFonts w:ascii="Arial" w:hAnsi="Arial" w:cs="Arial"/>
                <w:sz w:val="17"/>
                <w:szCs w:val="17"/>
              </w:rPr>
            </w:pPr>
            <w:r w:rsidRPr="00511959">
              <w:rPr>
                <w:rFonts w:ascii="Arial" w:hAnsi="Arial" w:cs="Arial"/>
                <w:sz w:val="17"/>
                <w:szCs w:val="17"/>
              </w:rPr>
              <w:t>57,430,273</w:t>
            </w:r>
          </w:p>
        </w:tc>
        <w:tc>
          <w:tcPr>
            <w:tcW w:w="2180" w:type="dxa"/>
            <w:tcBorders>
              <w:top w:val="single" w:sz="4" w:space="0" w:color="auto"/>
              <w:left w:val="nil"/>
              <w:bottom w:val="single" w:sz="4" w:space="0" w:color="auto"/>
              <w:right w:val="single" w:sz="4" w:space="0" w:color="auto"/>
            </w:tcBorders>
            <w:shd w:val="clear" w:color="auto" w:fill="auto"/>
          </w:tcPr>
          <w:p w:rsidR="00511959" w:rsidRPr="00E2754C" w:rsidRDefault="00511959" w:rsidP="00E2754C">
            <w:pPr>
              <w:jc w:val="right"/>
              <w:rPr>
                <w:rFonts w:ascii="Arial" w:hAnsi="Arial" w:cs="Arial"/>
                <w:sz w:val="17"/>
                <w:szCs w:val="17"/>
              </w:rPr>
            </w:pPr>
            <w:r>
              <w:rPr>
                <w:rFonts w:ascii="Arial" w:hAnsi="Arial" w:cs="Arial"/>
                <w:sz w:val="17"/>
                <w:szCs w:val="17"/>
              </w:rPr>
              <w:t>0</w:t>
            </w:r>
          </w:p>
        </w:tc>
      </w:tr>
      <w:tr w:rsidR="00511959" w:rsidRPr="002D70DA" w:rsidTr="00511959">
        <w:trPr>
          <w:trHeight w:val="240"/>
          <w:jc w:val="center"/>
        </w:trPr>
        <w:tc>
          <w:tcPr>
            <w:tcW w:w="4900" w:type="dxa"/>
            <w:tcBorders>
              <w:top w:val="nil"/>
              <w:left w:val="nil"/>
              <w:bottom w:val="nil"/>
              <w:right w:val="single" w:sz="4" w:space="0" w:color="auto"/>
            </w:tcBorders>
            <w:shd w:val="clear" w:color="000000" w:fill="FFFFFF"/>
            <w:vAlign w:val="center"/>
            <w:hideMark/>
          </w:tcPr>
          <w:p w:rsidR="00511959" w:rsidRPr="002D70DA" w:rsidRDefault="00511959" w:rsidP="0051195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511959" w:rsidRPr="00511959" w:rsidRDefault="00511959" w:rsidP="00511959">
            <w:pPr>
              <w:jc w:val="right"/>
              <w:rPr>
                <w:rFonts w:ascii="Arial" w:hAnsi="Arial" w:cs="Arial"/>
                <w:b/>
                <w:sz w:val="17"/>
                <w:szCs w:val="17"/>
              </w:rPr>
            </w:pPr>
            <w:r w:rsidRPr="00511959">
              <w:rPr>
                <w:rFonts w:ascii="Arial" w:hAnsi="Arial" w:cs="Arial"/>
                <w:b/>
                <w:sz w:val="17"/>
                <w:szCs w:val="17"/>
              </w:rPr>
              <w:t xml:space="preserve">57,751,713 </w:t>
            </w:r>
          </w:p>
        </w:tc>
        <w:tc>
          <w:tcPr>
            <w:tcW w:w="2180" w:type="dxa"/>
            <w:tcBorders>
              <w:top w:val="nil"/>
              <w:left w:val="single" w:sz="4" w:space="0" w:color="auto"/>
              <w:bottom w:val="single" w:sz="4" w:space="0" w:color="auto"/>
              <w:right w:val="single" w:sz="4" w:space="0" w:color="auto"/>
            </w:tcBorders>
            <w:shd w:val="clear" w:color="000000" w:fill="FFFFFF"/>
          </w:tcPr>
          <w:p w:rsidR="00511959" w:rsidRPr="00511959" w:rsidRDefault="00511959" w:rsidP="00511959">
            <w:pPr>
              <w:jc w:val="right"/>
              <w:rPr>
                <w:rFonts w:ascii="Arial" w:hAnsi="Arial" w:cs="Arial"/>
                <w:b/>
                <w:sz w:val="17"/>
                <w:szCs w:val="17"/>
              </w:rPr>
            </w:pPr>
            <w:r w:rsidRPr="00511959">
              <w:rPr>
                <w:rFonts w:ascii="Arial" w:hAnsi="Arial" w:cs="Arial"/>
                <w:b/>
                <w:sz w:val="17"/>
                <w:szCs w:val="17"/>
              </w:rPr>
              <w:t xml:space="preserve">0 </w:t>
            </w:r>
          </w:p>
        </w:tc>
      </w:tr>
    </w:tbl>
    <w:p w:rsidR="005571BF" w:rsidRDefault="005571BF">
      <w:pPr>
        <w:rPr>
          <w:rFonts w:ascii="Arial" w:eastAsia="Calibri" w:hAnsi="Arial" w:cs="Arial"/>
          <w:spacing w:val="-1"/>
          <w:sz w:val="17"/>
          <w:szCs w:val="17"/>
        </w:rPr>
      </w:pPr>
    </w:p>
    <w:p w:rsidR="003A0AB6" w:rsidRDefault="003A0AB6">
      <w:pPr>
        <w:rPr>
          <w:rFonts w:ascii="Arial" w:eastAsia="Calibri" w:hAnsi="Arial" w:cs="Arial"/>
          <w:b/>
          <w:spacing w:val="-1"/>
          <w:sz w:val="17"/>
          <w:szCs w:val="17"/>
        </w:rPr>
      </w:pPr>
    </w:p>
    <w:p w:rsidR="003A2688" w:rsidRPr="002D70DA" w:rsidRDefault="003A2688" w:rsidP="003A2688">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w:t>
      </w:r>
      <w:r w:rsidRPr="003A2688">
        <w:rPr>
          <w:rFonts w:ascii="Arial" w:eastAsia="Calibri" w:hAnsi="Arial" w:cs="Arial"/>
          <w:spacing w:val="-1"/>
          <w:sz w:val="17"/>
          <w:szCs w:val="17"/>
        </w:rPr>
        <w:t>Transferencia, Asignaciones, Subsidios y Subvenciones, y Pensiones y Jubilaciones</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se informa </w:t>
      </w:r>
      <w:r>
        <w:rPr>
          <w:rFonts w:ascii="Arial" w:eastAsia="Calibri" w:hAnsi="Arial" w:cs="Arial"/>
          <w:spacing w:val="-1"/>
          <w:sz w:val="17"/>
          <w:szCs w:val="17"/>
        </w:rPr>
        <w:t>que el saldo al 31 de diciembre del 2019 es:</w:t>
      </w:r>
    </w:p>
    <w:p w:rsidR="003A2688" w:rsidRDefault="003A2688" w:rsidP="003A2688">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3A2688" w:rsidRPr="002D70DA" w:rsidTr="003A2688">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2688" w:rsidRPr="002D70DA" w:rsidRDefault="003A2688" w:rsidP="001010C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3A2688" w:rsidRPr="002D70DA" w:rsidRDefault="003A2688" w:rsidP="001010C3">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2688" w:rsidRPr="002D70DA" w:rsidRDefault="003A2688" w:rsidP="001010C3">
            <w:pPr>
              <w:jc w:val="center"/>
              <w:rPr>
                <w:rFonts w:ascii="Arial" w:hAnsi="Arial" w:cs="Arial"/>
                <w:b/>
                <w:bCs/>
                <w:color w:val="000000"/>
                <w:sz w:val="17"/>
                <w:szCs w:val="17"/>
              </w:rPr>
            </w:pPr>
            <w:r>
              <w:rPr>
                <w:rFonts w:ascii="Arial" w:hAnsi="Arial" w:cs="Arial"/>
                <w:b/>
                <w:bCs/>
                <w:color w:val="000000"/>
                <w:sz w:val="17"/>
                <w:szCs w:val="17"/>
              </w:rPr>
              <w:t>2018</w:t>
            </w:r>
          </w:p>
        </w:tc>
      </w:tr>
      <w:tr w:rsidR="003A2688" w:rsidRPr="002D70DA" w:rsidTr="003A268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3A2688" w:rsidRPr="003A2688" w:rsidRDefault="003A2688" w:rsidP="003A2688">
            <w:pPr>
              <w:rPr>
                <w:rFonts w:ascii="Arial" w:hAnsi="Arial" w:cs="Arial"/>
                <w:sz w:val="17"/>
                <w:szCs w:val="17"/>
              </w:rPr>
            </w:pPr>
            <w:r w:rsidRPr="003A2688">
              <w:rPr>
                <w:rFonts w:ascii="Arial" w:hAnsi="Arial" w:cs="Arial"/>
                <w:sz w:val="17"/>
                <w:szCs w:val="17"/>
              </w:rPr>
              <w:t>Transferencias y Asignaciones</w:t>
            </w:r>
          </w:p>
        </w:tc>
        <w:tc>
          <w:tcPr>
            <w:tcW w:w="2091"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jc w:val="right"/>
              <w:rPr>
                <w:rFonts w:ascii="Arial" w:hAnsi="Arial" w:cs="Arial"/>
                <w:sz w:val="17"/>
                <w:szCs w:val="17"/>
              </w:rPr>
            </w:pPr>
            <w:r w:rsidRPr="003A2688">
              <w:rPr>
                <w:rFonts w:ascii="Arial" w:hAnsi="Arial" w:cs="Arial"/>
                <w:sz w:val="17"/>
                <w:szCs w:val="17"/>
              </w:rPr>
              <w:t xml:space="preserve"> 1,222,411,007 </w:t>
            </w:r>
          </w:p>
        </w:tc>
        <w:tc>
          <w:tcPr>
            <w:tcW w:w="2148" w:type="dxa"/>
            <w:tcBorders>
              <w:top w:val="nil"/>
              <w:left w:val="single" w:sz="4" w:space="0" w:color="auto"/>
              <w:bottom w:val="single" w:sz="4" w:space="0" w:color="auto"/>
              <w:right w:val="single" w:sz="4" w:space="0" w:color="auto"/>
            </w:tcBorders>
            <w:shd w:val="clear" w:color="auto" w:fill="auto"/>
          </w:tcPr>
          <w:p w:rsidR="003A2688" w:rsidRPr="003A2688" w:rsidRDefault="003A2688" w:rsidP="003A2688">
            <w:pPr>
              <w:jc w:val="right"/>
              <w:rPr>
                <w:rFonts w:ascii="Arial" w:hAnsi="Arial" w:cs="Arial"/>
                <w:sz w:val="17"/>
                <w:szCs w:val="17"/>
              </w:rPr>
            </w:pPr>
            <w:r w:rsidRPr="003A2688">
              <w:rPr>
                <w:rFonts w:ascii="Arial" w:hAnsi="Arial" w:cs="Arial"/>
                <w:sz w:val="17"/>
                <w:szCs w:val="17"/>
              </w:rPr>
              <w:t xml:space="preserve"> 1,295,024,268 </w:t>
            </w:r>
          </w:p>
        </w:tc>
      </w:tr>
      <w:tr w:rsidR="003A2688" w:rsidRPr="002D70DA" w:rsidTr="003A2688">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3A2688" w:rsidRPr="003A2688" w:rsidRDefault="003A2688" w:rsidP="003A2688">
            <w:pPr>
              <w:rPr>
                <w:rFonts w:ascii="Arial" w:hAnsi="Arial" w:cs="Arial"/>
                <w:sz w:val="17"/>
                <w:szCs w:val="17"/>
              </w:rPr>
            </w:pPr>
            <w:r w:rsidRPr="003A2688">
              <w:rPr>
                <w:rFonts w:ascii="Arial" w:hAnsi="Arial" w:cs="Arial"/>
                <w:sz w:val="17"/>
                <w:szCs w:val="17"/>
              </w:rPr>
              <w:t>Transferencias del Sector Público</w:t>
            </w:r>
          </w:p>
        </w:tc>
        <w:tc>
          <w:tcPr>
            <w:tcW w:w="2091"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jc w:val="right"/>
              <w:rPr>
                <w:rFonts w:ascii="Arial" w:hAnsi="Arial" w:cs="Arial"/>
                <w:sz w:val="17"/>
                <w:szCs w:val="17"/>
              </w:rPr>
            </w:pPr>
            <w:r w:rsidRPr="003A2688">
              <w:rPr>
                <w:rFonts w:ascii="Arial" w:hAnsi="Arial" w:cs="Arial"/>
                <w:sz w:val="17"/>
                <w:szCs w:val="17"/>
              </w:rPr>
              <w:t xml:space="preserve"> -   </w:t>
            </w:r>
          </w:p>
        </w:tc>
        <w:tc>
          <w:tcPr>
            <w:tcW w:w="2148" w:type="dxa"/>
            <w:tcBorders>
              <w:top w:val="nil"/>
              <w:left w:val="single" w:sz="4" w:space="0" w:color="auto"/>
              <w:bottom w:val="single" w:sz="4" w:space="0" w:color="auto"/>
              <w:right w:val="single" w:sz="4" w:space="0" w:color="auto"/>
            </w:tcBorders>
            <w:shd w:val="clear" w:color="auto" w:fill="auto"/>
          </w:tcPr>
          <w:p w:rsidR="003A2688" w:rsidRPr="003A2688" w:rsidRDefault="003A2688" w:rsidP="003A2688">
            <w:pPr>
              <w:jc w:val="right"/>
              <w:rPr>
                <w:rFonts w:ascii="Arial" w:hAnsi="Arial" w:cs="Arial"/>
                <w:sz w:val="17"/>
                <w:szCs w:val="17"/>
              </w:rPr>
            </w:pPr>
            <w:r w:rsidRPr="003A2688">
              <w:rPr>
                <w:rFonts w:ascii="Arial" w:hAnsi="Arial" w:cs="Arial"/>
                <w:sz w:val="17"/>
                <w:szCs w:val="17"/>
              </w:rPr>
              <w:t xml:space="preserve"> 25,725,504 </w:t>
            </w:r>
          </w:p>
        </w:tc>
      </w:tr>
      <w:tr w:rsidR="003A2688" w:rsidRPr="002D70DA" w:rsidTr="003A2688">
        <w:trPr>
          <w:trHeight w:val="240"/>
          <w:jc w:val="center"/>
        </w:trPr>
        <w:tc>
          <w:tcPr>
            <w:tcW w:w="4743" w:type="dxa"/>
            <w:tcBorders>
              <w:top w:val="single" w:sz="4" w:space="0" w:color="auto"/>
              <w:right w:val="single" w:sz="4" w:space="0" w:color="auto"/>
            </w:tcBorders>
            <w:shd w:val="clear" w:color="auto" w:fill="auto"/>
            <w:vAlign w:val="center"/>
          </w:tcPr>
          <w:p w:rsidR="003A2688" w:rsidRPr="00F93CE5" w:rsidRDefault="003A2688" w:rsidP="003A2688">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jc w:val="right"/>
              <w:rPr>
                <w:rFonts w:ascii="Arial" w:hAnsi="Arial" w:cs="Arial"/>
                <w:b/>
                <w:sz w:val="17"/>
                <w:szCs w:val="17"/>
              </w:rPr>
            </w:pPr>
            <w:r w:rsidRPr="003A2688">
              <w:rPr>
                <w:rFonts w:ascii="Arial" w:hAnsi="Arial" w:cs="Arial"/>
                <w:b/>
                <w:sz w:val="17"/>
                <w:szCs w:val="17"/>
              </w:rPr>
              <w:t xml:space="preserve"> 1,222,411,007 </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jc w:val="right"/>
              <w:rPr>
                <w:rFonts w:ascii="Arial" w:hAnsi="Arial" w:cs="Arial"/>
                <w:b/>
                <w:sz w:val="17"/>
                <w:szCs w:val="17"/>
              </w:rPr>
            </w:pPr>
            <w:r w:rsidRPr="003A2688">
              <w:rPr>
                <w:rFonts w:ascii="Arial" w:hAnsi="Arial" w:cs="Arial"/>
                <w:b/>
                <w:sz w:val="17"/>
                <w:szCs w:val="17"/>
              </w:rPr>
              <w:t xml:space="preserve"> 1,320,749,772 </w:t>
            </w:r>
          </w:p>
        </w:tc>
      </w:tr>
    </w:tbl>
    <w:p w:rsidR="003A2688" w:rsidRDefault="003A2688" w:rsidP="003A2688">
      <w:pPr>
        <w:autoSpaceDE w:val="0"/>
        <w:autoSpaceDN w:val="0"/>
        <w:adjustRightInd w:val="0"/>
        <w:spacing w:before="240" w:after="120"/>
        <w:ind w:left="709"/>
        <w:rPr>
          <w:rFonts w:ascii="Arial" w:eastAsia="Calibri" w:hAnsi="Arial" w:cs="Arial"/>
          <w:spacing w:val="-1"/>
          <w:sz w:val="17"/>
          <w:szCs w:val="17"/>
        </w:rPr>
      </w:pPr>
    </w:p>
    <w:p w:rsidR="003A2688" w:rsidRDefault="003A2688">
      <w:pPr>
        <w:rPr>
          <w:rFonts w:ascii="Arial" w:eastAsia="Calibri" w:hAnsi="Arial" w:cs="Arial"/>
          <w:spacing w:val="-1"/>
          <w:sz w:val="17"/>
          <w:szCs w:val="17"/>
        </w:rPr>
      </w:pPr>
      <w:r>
        <w:rPr>
          <w:rFonts w:ascii="Arial" w:eastAsia="Calibri" w:hAnsi="Arial" w:cs="Arial"/>
          <w:spacing w:val="-1"/>
          <w:sz w:val="17"/>
          <w:szCs w:val="17"/>
        </w:rPr>
        <w:br w:type="page"/>
      </w:r>
    </w:p>
    <w:p w:rsidR="003A2688" w:rsidRDefault="003A2688" w:rsidP="003A2688">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3A2688" w:rsidRPr="002D70DA" w:rsidRDefault="003A2688" w:rsidP="003A268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3A2688" w:rsidRPr="002D70DA" w:rsidRDefault="003A2688" w:rsidP="001010C3">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A2688" w:rsidRPr="002D70DA" w:rsidRDefault="003A2688" w:rsidP="001010C3">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3A2688" w:rsidRPr="002D70DA" w:rsidRDefault="003A2688" w:rsidP="001010C3">
            <w:pPr>
              <w:jc w:val="center"/>
              <w:rPr>
                <w:rFonts w:ascii="Arial" w:hAnsi="Arial" w:cs="Arial"/>
                <w:b/>
                <w:bCs/>
                <w:color w:val="000000"/>
                <w:sz w:val="17"/>
                <w:szCs w:val="17"/>
              </w:rPr>
            </w:pPr>
            <w:r>
              <w:rPr>
                <w:rFonts w:ascii="Arial" w:hAnsi="Arial" w:cs="Arial"/>
                <w:b/>
                <w:bCs/>
                <w:color w:val="000000"/>
                <w:sz w:val="17"/>
                <w:szCs w:val="17"/>
              </w:rPr>
              <w:t>2018</w:t>
            </w:r>
          </w:p>
        </w:tc>
      </w:tr>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ind w:left="497"/>
              <w:rPr>
                <w:rFonts w:ascii="Arial" w:hAnsi="Arial" w:cs="Arial"/>
                <w:sz w:val="17"/>
                <w:szCs w:val="17"/>
              </w:rPr>
            </w:pPr>
            <w:r w:rsidRPr="003A2688">
              <w:rPr>
                <w:rFonts w:ascii="Arial" w:hAnsi="Arial" w:cs="Arial"/>
                <w:sz w:val="17"/>
                <w:szCs w:val="17"/>
              </w:rPr>
              <w:t>Comisión de Transparencia y Acceso a la 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19,041,769 </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17,967,205 </w:t>
            </w:r>
          </w:p>
        </w:tc>
      </w:tr>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ind w:left="497"/>
              <w:rPr>
                <w:rFonts w:ascii="Arial" w:hAnsi="Arial" w:cs="Arial"/>
                <w:sz w:val="17"/>
                <w:szCs w:val="17"/>
              </w:rPr>
            </w:pPr>
            <w:r w:rsidRPr="003A268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32,594,186 </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33,988,191 </w:t>
            </w:r>
          </w:p>
        </w:tc>
      </w:tr>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ind w:left="497"/>
              <w:rPr>
                <w:rFonts w:ascii="Arial" w:hAnsi="Arial" w:cs="Arial"/>
                <w:sz w:val="17"/>
                <w:szCs w:val="17"/>
              </w:rPr>
            </w:pPr>
            <w:r w:rsidRPr="003A2688">
              <w:rPr>
                <w:rFonts w:ascii="Arial" w:hAnsi="Arial" w:cs="Arial"/>
                <w:sz w:val="17"/>
                <w:szCs w:val="17"/>
              </w:rPr>
              <w:t>Entidad Superior de Fiscalización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97,671,063 </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87,616,606 </w:t>
            </w:r>
          </w:p>
        </w:tc>
      </w:tr>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ind w:left="497"/>
              <w:rPr>
                <w:rFonts w:ascii="Arial" w:hAnsi="Arial" w:cs="Arial"/>
                <w:sz w:val="17"/>
                <w:szCs w:val="17"/>
              </w:rPr>
            </w:pPr>
            <w:r w:rsidRPr="003A2688">
              <w:rPr>
                <w:rFonts w:ascii="Arial" w:hAnsi="Arial" w:cs="Arial"/>
                <w:sz w:val="17"/>
                <w:szCs w:val="17"/>
              </w:rPr>
              <w:t>Fiscalía General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824,807,788 </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820,744,231 </w:t>
            </w:r>
          </w:p>
        </w:tc>
      </w:tr>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ind w:left="497"/>
              <w:rPr>
                <w:rFonts w:ascii="Arial" w:hAnsi="Arial" w:cs="Arial"/>
                <w:sz w:val="17"/>
                <w:szCs w:val="17"/>
              </w:rPr>
            </w:pPr>
            <w:r w:rsidRPr="003A268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155,418,698 </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275,695,669 </w:t>
            </w:r>
          </w:p>
        </w:tc>
      </w:tr>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ind w:left="497"/>
              <w:rPr>
                <w:rFonts w:ascii="Arial" w:hAnsi="Arial" w:cs="Arial"/>
                <w:sz w:val="17"/>
                <w:szCs w:val="17"/>
              </w:rPr>
            </w:pPr>
            <w:r w:rsidRPr="003A268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22,586,185 </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19,534,069 </w:t>
            </w:r>
          </w:p>
        </w:tc>
      </w:tr>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ind w:left="497"/>
              <w:rPr>
                <w:rFonts w:ascii="Arial" w:hAnsi="Arial" w:cs="Arial"/>
                <w:sz w:val="17"/>
                <w:szCs w:val="17"/>
              </w:rPr>
            </w:pPr>
            <w:r w:rsidRPr="003A2688">
              <w:rPr>
                <w:rFonts w:ascii="Arial" w:hAnsi="Arial" w:cs="Arial"/>
                <w:sz w:val="17"/>
                <w:szCs w:val="17"/>
              </w:rPr>
              <w:t>Tribunal de Justicia Administrativa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43,946,091 </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40,079,147 </w:t>
            </w:r>
          </w:p>
        </w:tc>
      </w:tr>
      <w:tr w:rsidR="003A2688" w:rsidRPr="002D70DA" w:rsidTr="003A268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3A2688" w:rsidRPr="003A2688" w:rsidRDefault="003A2688" w:rsidP="003A2688">
            <w:pPr>
              <w:ind w:left="497"/>
              <w:rPr>
                <w:rFonts w:ascii="Arial" w:hAnsi="Arial" w:cs="Arial"/>
                <w:sz w:val="17"/>
                <w:szCs w:val="17"/>
              </w:rPr>
            </w:pPr>
            <w:r w:rsidRPr="003A268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26,345,227 </w:t>
            </w:r>
          </w:p>
        </w:tc>
        <w:tc>
          <w:tcPr>
            <w:tcW w:w="2180" w:type="dxa"/>
            <w:tcBorders>
              <w:top w:val="single" w:sz="4" w:space="0" w:color="auto"/>
              <w:left w:val="nil"/>
              <w:bottom w:val="single" w:sz="4" w:space="0" w:color="auto"/>
              <w:right w:val="single" w:sz="4" w:space="0" w:color="auto"/>
            </w:tcBorders>
            <w:shd w:val="clear" w:color="auto" w:fill="auto"/>
          </w:tcPr>
          <w:p w:rsidR="003A2688" w:rsidRPr="003A2688" w:rsidRDefault="003A2688" w:rsidP="003A2688">
            <w:pPr>
              <w:ind w:left="497"/>
              <w:jc w:val="right"/>
              <w:rPr>
                <w:rFonts w:ascii="Arial" w:hAnsi="Arial" w:cs="Arial"/>
                <w:sz w:val="17"/>
                <w:szCs w:val="17"/>
              </w:rPr>
            </w:pPr>
            <w:r w:rsidRPr="003A2688">
              <w:rPr>
                <w:rFonts w:ascii="Arial" w:hAnsi="Arial" w:cs="Arial"/>
                <w:sz w:val="17"/>
                <w:szCs w:val="17"/>
              </w:rPr>
              <w:t xml:space="preserve">25,124,654 </w:t>
            </w:r>
          </w:p>
        </w:tc>
      </w:tr>
      <w:tr w:rsidR="003A2688" w:rsidRPr="002D70DA" w:rsidTr="003A2688">
        <w:trPr>
          <w:trHeight w:val="240"/>
          <w:jc w:val="center"/>
        </w:trPr>
        <w:tc>
          <w:tcPr>
            <w:tcW w:w="4900" w:type="dxa"/>
            <w:tcBorders>
              <w:top w:val="nil"/>
              <w:left w:val="nil"/>
              <w:bottom w:val="nil"/>
              <w:right w:val="single" w:sz="4" w:space="0" w:color="auto"/>
            </w:tcBorders>
            <w:shd w:val="clear" w:color="000000" w:fill="FFFFFF"/>
            <w:vAlign w:val="center"/>
            <w:hideMark/>
          </w:tcPr>
          <w:p w:rsidR="003A2688" w:rsidRPr="002D70DA" w:rsidRDefault="003A2688" w:rsidP="003A2688">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3A2688" w:rsidRPr="003A2688" w:rsidRDefault="003A2688" w:rsidP="003A2688">
            <w:pPr>
              <w:ind w:left="497"/>
              <w:jc w:val="right"/>
              <w:rPr>
                <w:rFonts w:ascii="Arial" w:hAnsi="Arial" w:cs="Arial"/>
                <w:b/>
                <w:sz w:val="17"/>
                <w:szCs w:val="17"/>
              </w:rPr>
            </w:pPr>
            <w:r w:rsidRPr="003A2688">
              <w:rPr>
                <w:rFonts w:ascii="Arial" w:hAnsi="Arial" w:cs="Arial"/>
                <w:b/>
                <w:sz w:val="17"/>
                <w:szCs w:val="17"/>
              </w:rPr>
              <w:t xml:space="preserve">1,222,411,007 </w:t>
            </w:r>
          </w:p>
        </w:tc>
        <w:tc>
          <w:tcPr>
            <w:tcW w:w="2180" w:type="dxa"/>
            <w:tcBorders>
              <w:top w:val="nil"/>
              <w:left w:val="single" w:sz="4" w:space="0" w:color="auto"/>
              <w:bottom w:val="single" w:sz="4" w:space="0" w:color="auto"/>
              <w:right w:val="single" w:sz="4" w:space="0" w:color="auto"/>
            </w:tcBorders>
            <w:shd w:val="clear" w:color="000000" w:fill="FFFFFF"/>
          </w:tcPr>
          <w:p w:rsidR="003A2688" w:rsidRPr="003A2688" w:rsidRDefault="003A2688" w:rsidP="003A2688">
            <w:pPr>
              <w:ind w:left="497"/>
              <w:jc w:val="right"/>
              <w:rPr>
                <w:rFonts w:ascii="Arial" w:hAnsi="Arial" w:cs="Arial"/>
                <w:b/>
                <w:sz w:val="17"/>
                <w:szCs w:val="17"/>
              </w:rPr>
            </w:pPr>
            <w:r w:rsidRPr="003A2688">
              <w:rPr>
                <w:rFonts w:ascii="Arial" w:hAnsi="Arial" w:cs="Arial"/>
                <w:b/>
                <w:sz w:val="17"/>
                <w:szCs w:val="17"/>
              </w:rPr>
              <w:t xml:space="preserve">1,320,749,772 </w:t>
            </w:r>
          </w:p>
        </w:tc>
      </w:tr>
    </w:tbl>
    <w:p w:rsidR="003A2688" w:rsidRDefault="003A2688" w:rsidP="003A2688">
      <w:pPr>
        <w:rPr>
          <w:rFonts w:ascii="Arial" w:eastAsia="Calibri" w:hAnsi="Arial" w:cs="Arial"/>
          <w:spacing w:val="-1"/>
          <w:sz w:val="17"/>
          <w:szCs w:val="17"/>
        </w:rPr>
      </w:pPr>
    </w:p>
    <w:p w:rsidR="003A2688" w:rsidRDefault="003A2688" w:rsidP="003A2688">
      <w:pPr>
        <w:rPr>
          <w:rFonts w:ascii="Arial" w:eastAsia="Calibri" w:hAnsi="Arial" w:cs="Arial"/>
          <w:b/>
          <w:spacing w:val="-1"/>
          <w:sz w:val="17"/>
          <w:szCs w:val="17"/>
        </w:rPr>
      </w:pPr>
    </w:p>
    <w:p w:rsidR="003A2688" w:rsidRDefault="003A2688">
      <w:pPr>
        <w:rPr>
          <w:rFonts w:ascii="Arial" w:eastAsia="Calibri" w:hAnsi="Arial" w:cs="Arial"/>
          <w:b/>
          <w:spacing w:val="-1"/>
          <w:sz w:val="17"/>
          <w:szCs w:val="17"/>
        </w:rPr>
      </w:pPr>
    </w:p>
    <w:p w:rsidR="00577A8F" w:rsidRPr="00431A7F" w:rsidRDefault="00577A8F" w:rsidP="00795E45">
      <w:pPr>
        <w:pStyle w:val="Prrafodelista"/>
        <w:numPr>
          <w:ilvl w:val="0"/>
          <w:numId w:val="11"/>
        </w:numPr>
        <w:spacing w:before="80" w:line="250" w:lineRule="exact"/>
        <w:jc w:val="both"/>
        <w:rPr>
          <w:rFonts w:ascii="Arial" w:eastAsia="Calibri" w:hAnsi="Arial" w:cs="Arial"/>
          <w:b/>
          <w:spacing w:val="-1"/>
          <w:sz w:val="17"/>
          <w:szCs w:val="17"/>
        </w:rPr>
      </w:pPr>
      <w:r w:rsidRPr="00431A7F">
        <w:rPr>
          <w:rFonts w:ascii="Arial" w:eastAsia="Calibri" w:hAnsi="Arial" w:cs="Arial"/>
          <w:b/>
          <w:spacing w:val="-1"/>
          <w:sz w:val="17"/>
          <w:szCs w:val="17"/>
        </w:rPr>
        <w:t>Otros Ingresos y Beneficios</w:t>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sidRPr="00080796">
        <w:rPr>
          <w:rFonts w:ascii="Arial" w:eastAsia="Calibri" w:hAnsi="Arial" w:cs="Arial"/>
          <w:spacing w:val="-1"/>
          <w:sz w:val="17"/>
          <w:szCs w:val="17"/>
        </w:rPr>
        <w:t>Del</w:t>
      </w:r>
      <w:r>
        <w:rPr>
          <w:rFonts w:ascii="Arial" w:eastAsia="Calibri" w:hAnsi="Arial" w:cs="Arial"/>
          <w:spacing w:val="-1"/>
          <w:sz w:val="17"/>
          <w:szCs w:val="17"/>
        </w:rPr>
        <w:t xml:space="preserve"> </w:t>
      </w:r>
      <w:r w:rsidRPr="00080796">
        <w:rPr>
          <w:rFonts w:ascii="Arial" w:eastAsia="Calibri" w:hAnsi="Arial" w:cs="Arial"/>
          <w:spacing w:val="-1"/>
          <w:sz w:val="17"/>
          <w:szCs w:val="17"/>
        </w:rPr>
        <w:t xml:space="preserve">rubro de </w:t>
      </w:r>
      <w:r w:rsidR="007D4616">
        <w:rPr>
          <w:rFonts w:ascii="Arial" w:eastAsia="Calibri" w:hAnsi="Arial" w:cs="Arial"/>
          <w:spacing w:val="-1"/>
          <w:sz w:val="17"/>
          <w:szCs w:val="17"/>
        </w:rPr>
        <w:t>Ingresos Financieros</w:t>
      </w:r>
      <w:r w:rsidRPr="00080796">
        <w:rPr>
          <w:rFonts w:ascii="Arial" w:eastAsia="Calibri" w:hAnsi="Arial" w:cs="Arial"/>
          <w:spacing w:val="-1"/>
          <w:sz w:val="17"/>
          <w:szCs w:val="17"/>
        </w:rPr>
        <w:t xml:space="preserve"> se informa que el saldo al 31 de diciembre del </w:t>
      </w:r>
      <w:r w:rsidR="009831D5">
        <w:rPr>
          <w:rFonts w:ascii="Arial" w:eastAsia="Calibri" w:hAnsi="Arial" w:cs="Arial"/>
          <w:spacing w:val="-1"/>
          <w:sz w:val="17"/>
          <w:szCs w:val="17"/>
        </w:rPr>
        <w:t>2019</w:t>
      </w:r>
      <w:r w:rsidRPr="00080796">
        <w:rPr>
          <w:rFonts w:ascii="Arial" w:eastAsia="Calibri" w:hAnsi="Arial" w:cs="Arial"/>
          <w:spacing w:val="-1"/>
          <w:sz w:val="17"/>
          <w:szCs w:val="17"/>
        </w:rPr>
        <w:t xml:space="preserve"> es de</w:t>
      </w:r>
      <w:r>
        <w:rPr>
          <w:rFonts w:ascii="Arial" w:eastAsia="Calibri" w:hAnsi="Arial" w:cs="Arial"/>
          <w:spacing w:val="-1"/>
          <w:sz w:val="17"/>
          <w:szCs w:val="17"/>
        </w:rPr>
        <w:t>:</w:t>
      </w:r>
    </w:p>
    <w:p w:rsidR="00B4359F" w:rsidRDefault="00B4359F" w:rsidP="00B4359F">
      <w:pPr>
        <w:autoSpaceDE w:val="0"/>
        <w:autoSpaceDN w:val="0"/>
        <w:adjustRightInd w:val="0"/>
        <w:spacing w:before="240" w:after="120"/>
        <w:ind w:left="360"/>
        <w:jc w:val="center"/>
        <w:rPr>
          <w:rFonts w:ascii="Arial" w:eastAsia="Calibri" w:hAnsi="Arial" w:cs="Arial"/>
          <w:b/>
          <w:spacing w:val="-1"/>
          <w:sz w:val="17"/>
          <w:szCs w:val="17"/>
        </w:rPr>
      </w:pPr>
      <w:r w:rsidRPr="005540CE">
        <w:rPr>
          <w:rFonts w:ascii="Arial" w:eastAsia="Calibri" w:hAnsi="Arial" w:cs="Arial"/>
          <w:b/>
          <w:spacing w:val="-1"/>
          <w:sz w:val="17"/>
          <w:szCs w:val="17"/>
        </w:rPr>
        <w:t>(Pesos)</w:t>
      </w:r>
    </w:p>
    <w:tbl>
      <w:tblPr>
        <w:tblW w:w="8982" w:type="dxa"/>
        <w:jc w:val="center"/>
        <w:tblCellMar>
          <w:left w:w="70" w:type="dxa"/>
          <w:right w:w="70" w:type="dxa"/>
        </w:tblCellMar>
        <w:tblLook w:val="04A0" w:firstRow="1" w:lastRow="0" w:firstColumn="1" w:lastColumn="0" w:noHBand="0" w:noVBand="1"/>
      </w:tblPr>
      <w:tblGrid>
        <w:gridCol w:w="4743"/>
        <w:gridCol w:w="2091"/>
        <w:gridCol w:w="2148"/>
      </w:tblGrid>
      <w:tr w:rsidR="00B4359F" w:rsidRPr="002D70DA" w:rsidTr="0022168C">
        <w:trPr>
          <w:trHeight w:val="480"/>
          <w:jc w:val="center"/>
        </w:trPr>
        <w:tc>
          <w:tcPr>
            <w:tcW w:w="47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B4359F" w:rsidP="00FE0D85">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091" w:type="dxa"/>
            <w:tcBorders>
              <w:top w:val="single" w:sz="4" w:space="0" w:color="auto"/>
              <w:left w:val="nil"/>
              <w:bottom w:val="single" w:sz="4" w:space="0" w:color="auto"/>
              <w:right w:val="single" w:sz="4" w:space="0" w:color="auto"/>
            </w:tcBorders>
            <w:shd w:val="clear" w:color="auto" w:fill="D5DCE4" w:themeFill="text2" w:themeFillTint="33"/>
            <w:vAlign w:val="center"/>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2019</w:t>
            </w:r>
          </w:p>
        </w:tc>
        <w:tc>
          <w:tcPr>
            <w:tcW w:w="21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4359F" w:rsidRPr="002D70DA" w:rsidRDefault="009831D5" w:rsidP="00FE0D85">
            <w:pPr>
              <w:jc w:val="center"/>
              <w:rPr>
                <w:rFonts w:ascii="Arial" w:hAnsi="Arial" w:cs="Arial"/>
                <w:b/>
                <w:bCs/>
                <w:color w:val="000000"/>
                <w:sz w:val="17"/>
                <w:szCs w:val="17"/>
              </w:rPr>
            </w:pPr>
            <w:r>
              <w:rPr>
                <w:rFonts w:ascii="Arial" w:hAnsi="Arial" w:cs="Arial"/>
                <w:b/>
                <w:bCs/>
                <w:color w:val="000000"/>
                <w:sz w:val="17"/>
                <w:szCs w:val="17"/>
              </w:rPr>
              <w:t>2018</w:t>
            </w:r>
          </w:p>
        </w:tc>
      </w:tr>
      <w:tr w:rsidR="0022168C" w:rsidRPr="002D70DA" w:rsidTr="0022168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2168C" w:rsidRPr="0055148B" w:rsidRDefault="0022168C" w:rsidP="0022168C">
            <w:pPr>
              <w:rPr>
                <w:rFonts w:ascii="Arial" w:hAnsi="Arial" w:cs="Arial"/>
                <w:sz w:val="17"/>
                <w:szCs w:val="17"/>
              </w:rPr>
            </w:pPr>
            <w:r w:rsidRPr="0055148B">
              <w:rPr>
                <w:rFonts w:ascii="Arial" w:hAnsi="Arial" w:cs="Arial"/>
                <w:sz w:val="17"/>
                <w:szCs w:val="17"/>
              </w:rPr>
              <w:t xml:space="preserve">Ingresos Financieros  </w:t>
            </w:r>
          </w:p>
        </w:tc>
        <w:tc>
          <w:tcPr>
            <w:tcW w:w="2091" w:type="dxa"/>
            <w:tcBorders>
              <w:top w:val="single" w:sz="4" w:space="0" w:color="auto"/>
              <w:left w:val="nil"/>
              <w:bottom w:val="single" w:sz="4" w:space="0" w:color="auto"/>
              <w:right w:val="single" w:sz="4" w:space="0" w:color="auto"/>
            </w:tcBorders>
            <w:shd w:val="clear" w:color="auto" w:fill="auto"/>
          </w:tcPr>
          <w:p w:rsidR="0022168C" w:rsidRPr="0022168C" w:rsidRDefault="0022168C" w:rsidP="0022168C">
            <w:pPr>
              <w:ind w:left="497"/>
              <w:jc w:val="right"/>
              <w:rPr>
                <w:rFonts w:ascii="Arial" w:hAnsi="Arial" w:cs="Arial"/>
                <w:sz w:val="17"/>
                <w:szCs w:val="17"/>
              </w:rPr>
            </w:pPr>
            <w:r w:rsidRPr="0022168C">
              <w:rPr>
                <w:rFonts w:ascii="Arial" w:hAnsi="Arial" w:cs="Arial"/>
                <w:sz w:val="17"/>
                <w:szCs w:val="17"/>
              </w:rPr>
              <w:t>4,103,571</w:t>
            </w:r>
          </w:p>
        </w:tc>
        <w:tc>
          <w:tcPr>
            <w:tcW w:w="2148" w:type="dxa"/>
            <w:tcBorders>
              <w:top w:val="nil"/>
              <w:left w:val="single" w:sz="4" w:space="0" w:color="auto"/>
              <w:bottom w:val="single" w:sz="4" w:space="0" w:color="auto"/>
              <w:right w:val="single" w:sz="4" w:space="0" w:color="auto"/>
            </w:tcBorders>
            <w:shd w:val="clear" w:color="auto" w:fill="auto"/>
          </w:tcPr>
          <w:p w:rsidR="0022168C" w:rsidRPr="0022168C" w:rsidRDefault="0022168C" w:rsidP="0022168C">
            <w:pPr>
              <w:ind w:left="497"/>
              <w:jc w:val="right"/>
              <w:rPr>
                <w:rFonts w:ascii="Arial" w:hAnsi="Arial" w:cs="Arial"/>
                <w:sz w:val="17"/>
                <w:szCs w:val="17"/>
              </w:rPr>
            </w:pPr>
            <w:r w:rsidRPr="0022168C">
              <w:rPr>
                <w:rFonts w:ascii="Arial" w:hAnsi="Arial" w:cs="Arial"/>
                <w:sz w:val="17"/>
                <w:szCs w:val="17"/>
              </w:rPr>
              <w:t>3,129,702</w:t>
            </w:r>
          </w:p>
        </w:tc>
      </w:tr>
      <w:tr w:rsidR="0022168C" w:rsidRPr="002D70DA" w:rsidTr="0022168C">
        <w:trPr>
          <w:trHeight w:val="240"/>
          <w:jc w:val="center"/>
        </w:trPr>
        <w:tc>
          <w:tcPr>
            <w:tcW w:w="4743" w:type="dxa"/>
            <w:tcBorders>
              <w:top w:val="nil"/>
              <w:left w:val="single" w:sz="4" w:space="0" w:color="auto"/>
              <w:bottom w:val="single" w:sz="4" w:space="0" w:color="auto"/>
              <w:right w:val="single" w:sz="4" w:space="0" w:color="auto"/>
            </w:tcBorders>
            <w:shd w:val="clear" w:color="auto" w:fill="auto"/>
          </w:tcPr>
          <w:p w:rsidR="0022168C" w:rsidRPr="0055148B" w:rsidRDefault="0022168C" w:rsidP="0022168C">
            <w:pPr>
              <w:rPr>
                <w:rFonts w:ascii="Arial" w:hAnsi="Arial" w:cs="Arial"/>
                <w:sz w:val="17"/>
                <w:szCs w:val="17"/>
              </w:rPr>
            </w:pPr>
            <w:r w:rsidRPr="0055148B">
              <w:rPr>
                <w:rFonts w:ascii="Arial" w:hAnsi="Arial" w:cs="Arial"/>
                <w:sz w:val="17"/>
                <w:szCs w:val="17"/>
              </w:rPr>
              <w:t>Otros Ingresos y Beneficios Varios</w:t>
            </w:r>
          </w:p>
        </w:tc>
        <w:tc>
          <w:tcPr>
            <w:tcW w:w="2091" w:type="dxa"/>
            <w:tcBorders>
              <w:top w:val="single" w:sz="4" w:space="0" w:color="auto"/>
              <w:left w:val="nil"/>
              <w:bottom w:val="single" w:sz="4" w:space="0" w:color="auto"/>
              <w:right w:val="single" w:sz="4" w:space="0" w:color="auto"/>
            </w:tcBorders>
            <w:shd w:val="clear" w:color="auto" w:fill="auto"/>
          </w:tcPr>
          <w:p w:rsidR="0022168C" w:rsidRPr="0022168C" w:rsidRDefault="0022168C" w:rsidP="0022168C">
            <w:pPr>
              <w:ind w:left="497"/>
              <w:jc w:val="right"/>
              <w:rPr>
                <w:rFonts w:ascii="Arial" w:hAnsi="Arial" w:cs="Arial"/>
                <w:sz w:val="17"/>
                <w:szCs w:val="17"/>
              </w:rPr>
            </w:pPr>
            <w:r w:rsidRPr="0022168C">
              <w:rPr>
                <w:rFonts w:ascii="Arial" w:hAnsi="Arial" w:cs="Arial"/>
                <w:sz w:val="17"/>
                <w:szCs w:val="17"/>
              </w:rPr>
              <w:t>5,546,996</w:t>
            </w:r>
          </w:p>
        </w:tc>
        <w:tc>
          <w:tcPr>
            <w:tcW w:w="2148" w:type="dxa"/>
            <w:tcBorders>
              <w:top w:val="nil"/>
              <w:left w:val="single" w:sz="4" w:space="0" w:color="auto"/>
              <w:bottom w:val="single" w:sz="4" w:space="0" w:color="auto"/>
              <w:right w:val="single" w:sz="4" w:space="0" w:color="auto"/>
            </w:tcBorders>
            <w:shd w:val="clear" w:color="auto" w:fill="auto"/>
          </w:tcPr>
          <w:p w:rsidR="0022168C" w:rsidRPr="0022168C" w:rsidRDefault="0022168C" w:rsidP="0022168C">
            <w:pPr>
              <w:ind w:left="497"/>
              <w:jc w:val="right"/>
              <w:rPr>
                <w:rFonts w:ascii="Arial" w:hAnsi="Arial" w:cs="Arial"/>
                <w:sz w:val="17"/>
                <w:szCs w:val="17"/>
              </w:rPr>
            </w:pPr>
            <w:r w:rsidRPr="0022168C">
              <w:rPr>
                <w:rFonts w:ascii="Arial" w:hAnsi="Arial" w:cs="Arial"/>
                <w:sz w:val="17"/>
                <w:szCs w:val="17"/>
              </w:rPr>
              <w:t>587,044</w:t>
            </w:r>
          </w:p>
        </w:tc>
      </w:tr>
      <w:tr w:rsidR="0022168C" w:rsidRPr="002D70DA" w:rsidTr="0022168C">
        <w:trPr>
          <w:trHeight w:val="240"/>
          <w:jc w:val="center"/>
        </w:trPr>
        <w:tc>
          <w:tcPr>
            <w:tcW w:w="4743" w:type="dxa"/>
            <w:tcBorders>
              <w:top w:val="single" w:sz="4" w:space="0" w:color="auto"/>
              <w:right w:val="single" w:sz="4" w:space="0" w:color="auto"/>
            </w:tcBorders>
            <w:shd w:val="clear" w:color="auto" w:fill="auto"/>
            <w:vAlign w:val="center"/>
          </w:tcPr>
          <w:p w:rsidR="0022168C" w:rsidRPr="00F93CE5" w:rsidRDefault="0022168C" w:rsidP="0022168C">
            <w:pPr>
              <w:jc w:val="center"/>
              <w:rPr>
                <w:rFonts w:ascii="Arial" w:hAnsi="Arial" w:cs="Arial"/>
                <w:b/>
                <w:bCs/>
                <w:color w:val="000000"/>
                <w:sz w:val="17"/>
                <w:szCs w:val="17"/>
              </w:rPr>
            </w:pPr>
            <w:r w:rsidRPr="00F93CE5">
              <w:rPr>
                <w:rFonts w:ascii="Arial" w:hAnsi="Arial" w:cs="Arial"/>
                <w:b/>
                <w:bCs/>
                <w:color w:val="000000"/>
                <w:sz w:val="17"/>
                <w:szCs w:val="17"/>
              </w:rPr>
              <w:t>Total</w:t>
            </w:r>
          </w:p>
        </w:tc>
        <w:tc>
          <w:tcPr>
            <w:tcW w:w="2091" w:type="dxa"/>
            <w:tcBorders>
              <w:top w:val="single" w:sz="4" w:space="0" w:color="auto"/>
              <w:left w:val="single" w:sz="4" w:space="0" w:color="auto"/>
              <w:bottom w:val="single" w:sz="4" w:space="0" w:color="auto"/>
              <w:right w:val="single" w:sz="4" w:space="0" w:color="auto"/>
            </w:tcBorders>
            <w:shd w:val="clear" w:color="auto" w:fill="auto"/>
          </w:tcPr>
          <w:p w:rsidR="0022168C" w:rsidRPr="0022168C" w:rsidRDefault="0022168C" w:rsidP="0022168C">
            <w:pPr>
              <w:ind w:left="497"/>
              <w:jc w:val="right"/>
              <w:rPr>
                <w:rFonts w:ascii="Arial" w:hAnsi="Arial" w:cs="Arial"/>
                <w:b/>
                <w:sz w:val="17"/>
                <w:szCs w:val="17"/>
              </w:rPr>
            </w:pPr>
            <w:r w:rsidRPr="0022168C">
              <w:rPr>
                <w:rFonts w:ascii="Arial" w:hAnsi="Arial" w:cs="Arial"/>
                <w:b/>
                <w:sz w:val="17"/>
                <w:szCs w:val="17"/>
              </w:rPr>
              <w:t>9,650,567</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22168C" w:rsidRPr="0022168C" w:rsidRDefault="0022168C" w:rsidP="0022168C">
            <w:pPr>
              <w:ind w:left="497"/>
              <w:jc w:val="right"/>
              <w:rPr>
                <w:rFonts w:ascii="Arial" w:hAnsi="Arial" w:cs="Arial"/>
                <w:b/>
                <w:sz w:val="17"/>
                <w:szCs w:val="17"/>
              </w:rPr>
            </w:pPr>
            <w:r w:rsidRPr="0022168C">
              <w:rPr>
                <w:rFonts w:ascii="Arial" w:hAnsi="Arial" w:cs="Arial"/>
                <w:b/>
                <w:sz w:val="17"/>
                <w:szCs w:val="17"/>
              </w:rPr>
              <w:t>3,716,746</w:t>
            </w:r>
          </w:p>
        </w:tc>
      </w:tr>
    </w:tbl>
    <w:p w:rsidR="00B4359F" w:rsidRDefault="00B4359F">
      <w:pPr>
        <w:rPr>
          <w:rFonts w:ascii="Arial" w:eastAsia="Calibri" w:hAnsi="Arial" w:cs="Arial"/>
          <w:spacing w:val="-1"/>
          <w:sz w:val="17"/>
          <w:szCs w:val="17"/>
        </w:rPr>
      </w:pPr>
    </w:p>
    <w:p w:rsidR="0022168C" w:rsidRDefault="0022168C">
      <w:pPr>
        <w:rPr>
          <w:rFonts w:ascii="Arial" w:eastAsia="Calibri" w:hAnsi="Arial" w:cs="Arial"/>
          <w:spacing w:val="-1"/>
          <w:sz w:val="17"/>
          <w:szCs w:val="17"/>
        </w:rPr>
      </w:pPr>
      <w:r>
        <w:rPr>
          <w:rFonts w:ascii="Arial" w:eastAsia="Calibri" w:hAnsi="Arial" w:cs="Arial"/>
          <w:spacing w:val="-1"/>
          <w:sz w:val="17"/>
          <w:szCs w:val="17"/>
        </w:rPr>
        <w:br w:type="page"/>
      </w:r>
    </w:p>
    <w:p w:rsidR="00B4359F" w:rsidRDefault="00B4359F" w:rsidP="00B4359F">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La cual está distribuido de la siguiente manera:</w:t>
      </w:r>
    </w:p>
    <w:p w:rsidR="00B4359F" w:rsidRPr="002D70DA" w:rsidRDefault="00B4359F" w:rsidP="00B4359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473C7B" w:rsidRPr="002D70DA" w:rsidTr="0022168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473C7B" w:rsidRPr="002D70DA" w:rsidRDefault="00473C7B"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473C7B"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1163C1" w:rsidRPr="002D70DA" w:rsidTr="0022168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C34218">
              <w:rPr>
                <w:rFonts w:ascii="Arial" w:hAnsi="Arial" w:cs="Arial"/>
                <w:sz w:val="17"/>
                <w:szCs w:val="17"/>
              </w:rPr>
              <w:t>Comisión de Transparencia y Acceso a la</w:t>
            </w:r>
          </w:p>
          <w:p w:rsidR="001163C1" w:rsidRPr="00560A6D" w:rsidRDefault="001163C1" w:rsidP="001163C1">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12,385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27,281 </w:t>
            </w:r>
          </w:p>
        </w:tc>
      </w:tr>
      <w:tr w:rsidR="001163C1" w:rsidRPr="002D70DA" w:rsidTr="0022168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560A6D" w:rsidRDefault="001163C1" w:rsidP="001163C1">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28,630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12 </w:t>
            </w:r>
          </w:p>
        </w:tc>
      </w:tr>
      <w:tr w:rsidR="001163C1" w:rsidRPr="002D70DA" w:rsidTr="0022168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C34218">
              <w:rPr>
                <w:rFonts w:ascii="Arial" w:hAnsi="Arial" w:cs="Arial"/>
                <w:sz w:val="17"/>
                <w:szCs w:val="17"/>
              </w:rPr>
              <w:t>Entidad Superior de Fiscalización del Estado de</w:t>
            </w:r>
          </w:p>
          <w:p w:rsidR="001163C1" w:rsidRPr="00C34218" w:rsidRDefault="001163C1" w:rsidP="001163C1">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1,494,324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394,101 </w:t>
            </w:r>
          </w:p>
        </w:tc>
      </w:tr>
      <w:tr w:rsidR="001163C1" w:rsidRPr="002D70DA" w:rsidTr="0022168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6,765,568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3,294,631 </w:t>
            </w:r>
          </w:p>
        </w:tc>
      </w:tr>
      <w:tr w:rsidR="001163C1" w:rsidRPr="002D70DA" w:rsidTr="0022168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1163C1">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1,349,544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0 </w:t>
            </w:r>
          </w:p>
        </w:tc>
      </w:tr>
      <w:tr w:rsidR="001163C1" w:rsidRPr="002D70DA" w:rsidTr="0022168C">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163C1" w:rsidRPr="00C34218" w:rsidRDefault="001163C1" w:rsidP="001163C1">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115 </w:t>
            </w:r>
          </w:p>
        </w:tc>
        <w:tc>
          <w:tcPr>
            <w:tcW w:w="2180" w:type="dxa"/>
            <w:tcBorders>
              <w:top w:val="single" w:sz="4" w:space="0" w:color="auto"/>
              <w:left w:val="nil"/>
              <w:bottom w:val="single" w:sz="4" w:space="0" w:color="auto"/>
              <w:right w:val="single" w:sz="4" w:space="0" w:color="auto"/>
            </w:tcBorders>
            <w:shd w:val="clear" w:color="auto" w:fill="auto"/>
          </w:tcPr>
          <w:p w:rsidR="001163C1" w:rsidRPr="001163C1" w:rsidRDefault="001163C1" w:rsidP="001163C1">
            <w:pPr>
              <w:jc w:val="right"/>
              <w:rPr>
                <w:rFonts w:ascii="Arial" w:hAnsi="Arial" w:cs="Arial"/>
                <w:sz w:val="17"/>
                <w:szCs w:val="17"/>
              </w:rPr>
            </w:pPr>
            <w:r w:rsidRPr="001163C1">
              <w:rPr>
                <w:rFonts w:ascii="Arial" w:hAnsi="Arial" w:cs="Arial"/>
                <w:sz w:val="17"/>
                <w:szCs w:val="17"/>
              </w:rPr>
              <w:t xml:space="preserve">722 </w:t>
            </w:r>
          </w:p>
        </w:tc>
      </w:tr>
      <w:tr w:rsidR="0022168C" w:rsidRPr="002D70DA" w:rsidTr="0022168C">
        <w:trPr>
          <w:trHeight w:val="240"/>
          <w:jc w:val="center"/>
        </w:trPr>
        <w:tc>
          <w:tcPr>
            <w:tcW w:w="4900" w:type="dxa"/>
            <w:tcBorders>
              <w:top w:val="nil"/>
              <w:left w:val="nil"/>
              <w:bottom w:val="nil"/>
              <w:right w:val="single" w:sz="4" w:space="0" w:color="auto"/>
            </w:tcBorders>
            <w:shd w:val="clear" w:color="000000" w:fill="FFFFFF"/>
            <w:vAlign w:val="center"/>
            <w:hideMark/>
          </w:tcPr>
          <w:p w:rsidR="0022168C" w:rsidRPr="002D70DA" w:rsidRDefault="0022168C" w:rsidP="0022168C">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22168C" w:rsidRPr="0022168C" w:rsidRDefault="0022168C" w:rsidP="0022168C">
            <w:pPr>
              <w:jc w:val="right"/>
              <w:rPr>
                <w:rFonts w:ascii="Arial" w:hAnsi="Arial" w:cs="Arial"/>
                <w:b/>
                <w:sz w:val="17"/>
                <w:szCs w:val="17"/>
              </w:rPr>
            </w:pPr>
            <w:r w:rsidRPr="0022168C">
              <w:rPr>
                <w:rFonts w:ascii="Arial" w:hAnsi="Arial" w:cs="Arial"/>
                <w:b/>
                <w:sz w:val="17"/>
                <w:szCs w:val="17"/>
              </w:rPr>
              <w:t xml:space="preserve">9,650,567 </w:t>
            </w:r>
          </w:p>
        </w:tc>
        <w:tc>
          <w:tcPr>
            <w:tcW w:w="2180" w:type="dxa"/>
            <w:tcBorders>
              <w:top w:val="nil"/>
              <w:left w:val="single" w:sz="4" w:space="0" w:color="auto"/>
              <w:bottom w:val="single" w:sz="4" w:space="0" w:color="auto"/>
              <w:right w:val="single" w:sz="4" w:space="0" w:color="auto"/>
            </w:tcBorders>
            <w:shd w:val="clear" w:color="000000" w:fill="FFFFFF"/>
          </w:tcPr>
          <w:p w:rsidR="0022168C" w:rsidRPr="0022168C" w:rsidRDefault="0022168C" w:rsidP="0022168C">
            <w:pPr>
              <w:jc w:val="right"/>
              <w:rPr>
                <w:rFonts w:ascii="Arial" w:hAnsi="Arial" w:cs="Arial"/>
                <w:b/>
                <w:sz w:val="17"/>
                <w:szCs w:val="17"/>
              </w:rPr>
            </w:pPr>
            <w:r w:rsidRPr="0022168C">
              <w:rPr>
                <w:rFonts w:ascii="Arial" w:hAnsi="Arial" w:cs="Arial"/>
                <w:b/>
                <w:sz w:val="17"/>
                <w:szCs w:val="17"/>
              </w:rPr>
              <w:t xml:space="preserve">3,716,746 </w:t>
            </w:r>
          </w:p>
        </w:tc>
      </w:tr>
    </w:tbl>
    <w:p w:rsidR="00B4359F" w:rsidRDefault="00B4359F" w:rsidP="00B4359F">
      <w:pPr>
        <w:autoSpaceDE w:val="0"/>
        <w:autoSpaceDN w:val="0"/>
        <w:adjustRightInd w:val="0"/>
        <w:spacing w:before="240" w:after="120"/>
        <w:ind w:left="709"/>
        <w:rPr>
          <w:rFonts w:ascii="Arial" w:eastAsia="Calibri" w:hAnsi="Arial" w:cs="Arial"/>
          <w:spacing w:val="-1"/>
          <w:sz w:val="17"/>
          <w:szCs w:val="17"/>
        </w:rPr>
      </w:pPr>
    </w:p>
    <w:p w:rsidR="003A4D24" w:rsidRDefault="003A4D24">
      <w:pPr>
        <w:rPr>
          <w:rFonts w:ascii="Arial" w:hAnsi="Arial" w:cs="Arial"/>
          <w:b/>
          <w:sz w:val="17"/>
          <w:szCs w:val="17"/>
        </w:rPr>
      </w:pPr>
      <w:r>
        <w:rPr>
          <w:rFonts w:ascii="Arial" w:hAnsi="Arial" w:cs="Arial"/>
          <w:b/>
          <w:sz w:val="17"/>
          <w:szCs w:val="17"/>
        </w:rPr>
        <w:br w:type="page"/>
      </w:r>
    </w:p>
    <w:p w:rsidR="00EE16EB" w:rsidRPr="00A8264F" w:rsidRDefault="00EE16EB" w:rsidP="00795E45">
      <w:pPr>
        <w:pStyle w:val="Prrafodelista"/>
        <w:numPr>
          <w:ilvl w:val="0"/>
          <w:numId w:val="11"/>
        </w:numPr>
        <w:autoSpaceDE w:val="0"/>
        <w:autoSpaceDN w:val="0"/>
        <w:adjustRightInd w:val="0"/>
        <w:spacing w:before="240" w:after="120"/>
        <w:jc w:val="both"/>
        <w:rPr>
          <w:rFonts w:ascii="Arial" w:hAnsi="Arial" w:cs="Arial"/>
          <w:b/>
          <w:sz w:val="17"/>
          <w:szCs w:val="17"/>
        </w:rPr>
      </w:pPr>
      <w:r w:rsidRPr="00A8264F">
        <w:rPr>
          <w:rFonts w:ascii="Arial" w:hAnsi="Arial" w:cs="Arial"/>
          <w:b/>
          <w:sz w:val="17"/>
          <w:szCs w:val="17"/>
        </w:rPr>
        <w:lastRenderedPageBreak/>
        <w:t>Gastos y otras pérdidas</w:t>
      </w:r>
    </w:p>
    <w:p w:rsidR="0015343C" w:rsidRPr="002D70DA" w:rsidRDefault="0015343C" w:rsidP="0015343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Del</w:t>
      </w:r>
      <w:r w:rsidR="007C302E">
        <w:rPr>
          <w:rFonts w:ascii="Arial" w:eastAsia="Calibri" w:hAnsi="Arial" w:cs="Arial"/>
          <w:spacing w:val="-1"/>
          <w:sz w:val="17"/>
          <w:szCs w:val="17"/>
        </w:rPr>
        <w:t xml:space="preserve"> género de Gastos y otras pérdidas se informan los grupos </w:t>
      </w:r>
      <w:r w:rsidR="00E33439">
        <w:rPr>
          <w:rFonts w:ascii="Arial" w:eastAsia="Calibri" w:hAnsi="Arial" w:cs="Arial"/>
          <w:spacing w:val="-1"/>
          <w:sz w:val="17"/>
          <w:szCs w:val="17"/>
        </w:rPr>
        <w:t xml:space="preserve">de Gastos de Funcionamiento; </w:t>
      </w:r>
      <w:r w:rsidR="00E33439" w:rsidRPr="00E33439">
        <w:rPr>
          <w:rFonts w:ascii="Arial" w:eastAsia="Calibri" w:hAnsi="Arial" w:cs="Arial"/>
          <w:spacing w:val="-1"/>
          <w:sz w:val="17"/>
          <w:szCs w:val="17"/>
        </w:rPr>
        <w:t>Transferencias, Asignaciones, Subsidios y Otras Ayudas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Participaciones y Aportaciones</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Intereses, Comisiones y Otros Gastos de la Deuda Pública</w:t>
      </w:r>
      <w:r w:rsidR="00E33439">
        <w:rPr>
          <w:rFonts w:ascii="Arial" w:eastAsia="Calibri" w:hAnsi="Arial" w:cs="Arial"/>
          <w:spacing w:val="-1"/>
          <w:sz w:val="17"/>
          <w:szCs w:val="17"/>
        </w:rPr>
        <w:t xml:space="preserve">; </w:t>
      </w:r>
      <w:r w:rsidR="00E33439" w:rsidRPr="00E33439">
        <w:rPr>
          <w:rFonts w:ascii="Arial" w:eastAsia="Calibri" w:hAnsi="Arial" w:cs="Arial"/>
          <w:spacing w:val="-1"/>
          <w:sz w:val="17"/>
          <w:szCs w:val="17"/>
        </w:rPr>
        <w:t>Otros Gastos y Pérdidas Extraordinarias</w:t>
      </w:r>
      <w:r w:rsidR="00E33439">
        <w:rPr>
          <w:rFonts w:ascii="Arial" w:eastAsia="Calibri" w:hAnsi="Arial" w:cs="Arial"/>
          <w:spacing w:val="-1"/>
          <w:sz w:val="17"/>
          <w:szCs w:val="17"/>
        </w:rPr>
        <w:t xml:space="preserve">; e </w:t>
      </w:r>
      <w:r w:rsidR="00E33439" w:rsidRPr="00E33439">
        <w:rPr>
          <w:rFonts w:ascii="Arial" w:eastAsia="Calibri" w:hAnsi="Arial" w:cs="Arial"/>
          <w:spacing w:val="-1"/>
          <w:sz w:val="17"/>
          <w:szCs w:val="17"/>
        </w:rPr>
        <w:t>Inversión Pública</w:t>
      </w:r>
      <w:r w:rsidRPr="002D70DA">
        <w:rPr>
          <w:rFonts w:ascii="Arial" w:eastAsia="Calibri" w:hAnsi="Arial" w:cs="Arial"/>
          <w:spacing w:val="-1"/>
          <w:sz w:val="17"/>
          <w:szCs w:val="17"/>
        </w:rPr>
        <w:t xml:space="preserve">, los montos totales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15343C" w:rsidRPr="002D70DA" w:rsidRDefault="0015343C" w:rsidP="0015343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15343C" w:rsidRPr="002D70DA" w:rsidTr="00DC330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15343C" w:rsidRPr="002D70DA" w:rsidRDefault="0015343C" w:rsidP="00603D16">
            <w:pPr>
              <w:jc w:val="center"/>
              <w:rPr>
                <w:rFonts w:ascii="Arial" w:hAnsi="Arial" w:cs="Arial"/>
                <w:b/>
                <w:bCs/>
                <w:color w:val="000000"/>
                <w:sz w:val="17"/>
                <w:szCs w:val="17"/>
              </w:rPr>
            </w:pPr>
            <w:r w:rsidRPr="002D70DA">
              <w:rPr>
                <w:rFonts w:ascii="Arial" w:hAnsi="Arial" w:cs="Arial"/>
                <w:b/>
                <w:bCs/>
                <w:color w:val="000000"/>
                <w:sz w:val="17"/>
                <w:szCs w:val="17"/>
              </w:rPr>
              <w:t>C</w:t>
            </w:r>
            <w:r>
              <w:rPr>
                <w:rFonts w:ascii="Arial" w:hAnsi="Arial" w:cs="Arial"/>
                <w:b/>
                <w:bCs/>
                <w:color w:val="000000"/>
                <w:sz w:val="17"/>
                <w:szCs w:val="17"/>
              </w:rPr>
              <w:t>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15343C" w:rsidRPr="002D70DA" w:rsidRDefault="009831D5" w:rsidP="00603D16">
            <w:pPr>
              <w:jc w:val="center"/>
              <w:rPr>
                <w:rFonts w:ascii="Arial" w:hAnsi="Arial" w:cs="Arial"/>
                <w:b/>
                <w:bCs/>
                <w:color w:val="000000"/>
                <w:sz w:val="17"/>
                <w:szCs w:val="17"/>
              </w:rPr>
            </w:pPr>
            <w:r>
              <w:rPr>
                <w:rFonts w:ascii="Arial" w:hAnsi="Arial" w:cs="Arial"/>
                <w:b/>
                <w:bCs/>
                <w:color w:val="000000"/>
                <w:sz w:val="17"/>
                <w:szCs w:val="17"/>
              </w:rPr>
              <w:t>2018</w:t>
            </w:r>
          </w:p>
        </w:tc>
      </w:tr>
      <w:tr w:rsidR="00DC330B" w:rsidRPr="00882163" w:rsidTr="00DC330B">
        <w:trPr>
          <w:trHeight w:val="269"/>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C330B" w:rsidRPr="001E79D9" w:rsidRDefault="00DC330B" w:rsidP="00DC330B">
            <w:pPr>
              <w:rPr>
                <w:rFonts w:ascii="Arial" w:hAnsi="Arial" w:cs="Arial"/>
                <w:b/>
                <w:sz w:val="17"/>
                <w:szCs w:val="17"/>
              </w:rPr>
            </w:pPr>
            <w:r>
              <w:rPr>
                <w:rFonts w:ascii="Arial" w:hAnsi="Arial" w:cs="Arial"/>
                <w:b/>
                <w:sz w:val="17"/>
                <w:szCs w:val="17"/>
              </w:rPr>
              <w:t>Gastos de Funcionamiento</w:t>
            </w:r>
          </w:p>
        </w:tc>
        <w:tc>
          <w:tcPr>
            <w:tcW w:w="2180" w:type="dxa"/>
            <w:tcBorders>
              <w:top w:val="single" w:sz="4" w:space="0" w:color="auto"/>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1,116,052,770</w:t>
            </w:r>
          </w:p>
        </w:tc>
        <w:tc>
          <w:tcPr>
            <w:tcW w:w="2180" w:type="dxa"/>
            <w:tcBorders>
              <w:top w:val="single" w:sz="4" w:space="0" w:color="auto"/>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1,150,404,935</w:t>
            </w:r>
          </w:p>
        </w:tc>
      </w:tr>
      <w:tr w:rsidR="00DC330B" w:rsidTr="00DC330B">
        <w:trPr>
          <w:trHeight w:val="243"/>
          <w:jc w:val="center"/>
        </w:trPr>
        <w:tc>
          <w:tcPr>
            <w:tcW w:w="4900" w:type="dxa"/>
            <w:tcBorders>
              <w:top w:val="nil"/>
              <w:left w:val="single" w:sz="4" w:space="0" w:color="auto"/>
              <w:bottom w:val="single" w:sz="4" w:space="0" w:color="auto"/>
              <w:right w:val="single" w:sz="4" w:space="0" w:color="auto"/>
            </w:tcBorders>
            <w:shd w:val="clear" w:color="auto" w:fill="auto"/>
          </w:tcPr>
          <w:p w:rsidR="00DC330B" w:rsidRPr="0015343C" w:rsidRDefault="00DC330B" w:rsidP="00DC330B">
            <w:pPr>
              <w:ind w:left="634"/>
              <w:rPr>
                <w:rFonts w:ascii="Arial" w:hAnsi="Arial" w:cs="Arial"/>
                <w:sz w:val="17"/>
                <w:szCs w:val="17"/>
              </w:rPr>
            </w:pPr>
            <w:r w:rsidRPr="0015343C">
              <w:rPr>
                <w:rFonts w:ascii="Arial" w:hAnsi="Arial" w:cs="Arial"/>
                <w:sz w:val="17"/>
                <w:szCs w:val="17"/>
              </w:rPr>
              <w:t>Servicios Personales</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923,483,424</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912,422,139</w:t>
            </w:r>
          </w:p>
        </w:tc>
      </w:tr>
      <w:tr w:rsidR="00DC330B" w:rsidTr="00DC330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C330B" w:rsidRPr="0015343C" w:rsidRDefault="00DC330B" w:rsidP="00DC330B">
            <w:pPr>
              <w:ind w:left="634"/>
              <w:rPr>
                <w:rFonts w:ascii="Arial" w:hAnsi="Arial" w:cs="Arial"/>
                <w:sz w:val="17"/>
                <w:szCs w:val="17"/>
              </w:rPr>
            </w:pPr>
            <w:r w:rsidRPr="0015343C">
              <w:rPr>
                <w:rFonts w:ascii="Arial" w:hAnsi="Arial" w:cs="Arial"/>
                <w:sz w:val="17"/>
                <w:szCs w:val="17"/>
              </w:rPr>
              <w:t>Materiales y Suministros</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66,293,828</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95,391,427</w:t>
            </w:r>
          </w:p>
        </w:tc>
      </w:tr>
      <w:tr w:rsidR="00DC330B" w:rsidTr="00DC330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C330B" w:rsidRPr="0015343C" w:rsidRDefault="00DC330B" w:rsidP="00DC330B">
            <w:pPr>
              <w:ind w:left="634"/>
              <w:rPr>
                <w:rFonts w:ascii="Arial" w:hAnsi="Arial" w:cs="Arial"/>
                <w:sz w:val="17"/>
                <w:szCs w:val="17"/>
              </w:rPr>
            </w:pPr>
            <w:r w:rsidRPr="0015343C">
              <w:rPr>
                <w:rFonts w:ascii="Arial" w:hAnsi="Arial" w:cs="Arial"/>
                <w:sz w:val="17"/>
                <w:szCs w:val="17"/>
              </w:rPr>
              <w:t>Servicios Generales</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126,275,517</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142,591,369</w:t>
            </w:r>
          </w:p>
        </w:tc>
      </w:tr>
      <w:tr w:rsidR="00DC330B" w:rsidTr="00DC330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C330B" w:rsidRPr="0069430E" w:rsidRDefault="00DC330B" w:rsidP="00DC330B">
            <w:pPr>
              <w:rPr>
                <w:rFonts w:ascii="Arial" w:hAnsi="Arial" w:cs="Arial"/>
                <w:b/>
                <w:sz w:val="17"/>
                <w:szCs w:val="17"/>
              </w:rPr>
            </w:pPr>
            <w:r w:rsidRPr="0069430E">
              <w:rPr>
                <w:rFonts w:ascii="Arial" w:hAnsi="Arial" w:cs="Arial"/>
                <w:b/>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137,605,804</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147,712,229</w:t>
            </w:r>
          </w:p>
        </w:tc>
      </w:tr>
      <w:tr w:rsidR="00DC330B" w:rsidTr="00DC330B">
        <w:trPr>
          <w:trHeight w:val="240"/>
          <w:jc w:val="center"/>
        </w:trPr>
        <w:tc>
          <w:tcPr>
            <w:tcW w:w="4900" w:type="dxa"/>
            <w:tcBorders>
              <w:top w:val="nil"/>
              <w:left w:val="single" w:sz="4" w:space="0" w:color="auto"/>
              <w:bottom w:val="single" w:sz="4" w:space="0" w:color="auto"/>
              <w:right w:val="single" w:sz="4" w:space="0" w:color="auto"/>
            </w:tcBorders>
            <w:shd w:val="clear" w:color="auto" w:fill="auto"/>
          </w:tcPr>
          <w:p w:rsidR="00DC330B" w:rsidRPr="0069430E" w:rsidRDefault="00DC330B" w:rsidP="00DC330B">
            <w:pPr>
              <w:rPr>
                <w:rFonts w:ascii="Arial" w:hAnsi="Arial" w:cs="Arial"/>
                <w:b/>
                <w:sz w:val="17"/>
                <w:szCs w:val="17"/>
              </w:rPr>
            </w:pPr>
            <w:r w:rsidRPr="0069430E">
              <w:rPr>
                <w:rFonts w:ascii="Arial" w:hAnsi="Arial" w:cs="Arial"/>
                <w:b/>
                <w:sz w:val="17"/>
                <w:szCs w:val="17"/>
              </w:rPr>
              <w:t>Otros Gastos y Pérdidas Extraordinarias</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45,017,042</w:t>
            </w:r>
          </w:p>
        </w:tc>
        <w:tc>
          <w:tcPr>
            <w:tcW w:w="2180" w:type="dxa"/>
            <w:tcBorders>
              <w:top w:val="nil"/>
              <w:left w:val="nil"/>
              <w:bottom w:val="single" w:sz="4" w:space="0" w:color="auto"/>
              <w:right w:val="single" w:sz="4" w:space="0" w:color="auto"/>
            </w:tcBorders>
            <w:shd w:val="clear" w:color="auto" w:fill="auto"/>
          </w:tcPr>
          <w:p w:rsidR="00DC330B" w:rsidRPr="00DC330B" w:rsidRDefault="00DC330B" w:rsidP="00DC330B">
            <w:pPr>
              <w:jc w:val="right"/>
              <w:rPr>
                <w:rFonts w:ascii="Arial" w:hAnsi="Arial" w:cs="Arial"/>
                <w:sz w:val="17"/>
                <w:szCs w:val="17"/>
              </w:rPr>
            </w:pPr>
            <w:r w:rsidRPr="00DC330B">
              <w:rPr>
                <w:rFonts w:ascii="Arial" w:hAnsi="Arial" w:cs="Arial"/>
                <w:sz w:val="17"/>
                <w:szCs w:val="17"/>
              </w:rPr>
              <w:t>52,340,242</w:t>
            </w:r>
          </w:p>
        </w:tc>
      </w:tr>
      <w:tr w:rsidR="00DC330B" w:rsidRPr="002D70DA" w:rsidTr="00DC330B">
        <w:trPr>
          <w:trHeight w:val="240"/>
          <w:jc w:val="center"/>
        </w:trPr>
        <w:tc>
          <w:tcPr>
            <w:tcW w:w="4900" w:type="dxa"/>
            <w:tcBorders>
              <w:top w:val="nil"/>
              <w:left w:val="nil"/>
              <w:bottom w:val="nil"/>
              <w:right w:val="nil"/>
            </w:tcBorders>
            <w:shd w:val="clear" w:color="000000" w:fill="FFFFFF"/>
            <w:vAlign w:val="center"/>
            <w:hideMark/>
          </w:tcPr>
          <w:p w:rsidR="00DC330B" w:rsidRPr="002D70DA" w:rsidRDefault="00DC330B" w:rsidP="00DC330B">
            <w:pPr>
              <w:jc w:val="center"/>
              <w:rPr>
                <w:rFonts w:ascii="Arial" w:hAnsi="Arial" w:cs="Arial"/>
                <w:b/>
                <w:bCs/>
                <w:color w:val="000000"/>
                <w:sz w:val="17"/>
                <w:szCs w:val="17"/>
              </w:rPr>
            </w:pPr>
            <w:r>
              <w:rPr>
                <w:rFonts w:ascii="Arial" w:hAnsi="Arial" w:cs="Arial"/>
                <w:b/>
                <w:bCs/>
                <w:color w:val="000000"/>
                <w:sz w:val="17"/>
                <w:szCs w:val="17"/>
              </w:rPr>
              <w:t>Gastos y Otras Pérdidas</w:t>
            </w:r>
          </w:p>
        </w:tc>
        <w:tc>
          <w:tcPr>
            <w:tcW w:w="2180" w:type="dxa"/>
            <w:tcBorders>
              <w:top w:val="nil"/>
              <w:left w:val="single" w:sz="4" w:space="0" w:color="auto"/>
              <w:bottom w:val="single" w:sz="4" w:space="0" w:color="auto"/>
              <w:right w:val="single" w:sz="4" w:space="0" w:color="auto"/>
            </w:tcBorders>
            <w:shd w:val="clear" w:color="000000" w:fill="FFFFFF"/>
          </w:tcPr>
          <w:p w:rsidR="00DC330B" w:rsidRPr="00DC330B" w:rsidRDefault="00DC330B" w:rsidP="00DC330B">
            <w:pPr>
              <w:jc w:val="right"/>
              <w:rPr>
                <w:rFonts w:ascii="Arial" w:hAnsi="Arial" w:cs="Arial"/>
                <w:b/>
                <w:sz w:val="17"/>
                <w:szCs w:val="17"/>
              </w:rPr>
            </w:pPr>
            <w:r w:rsidRPr="00DC330B">
              <w:rPr>
                <w:rFonts w:ascii="Arial" w:hAnsi="Arial" w:cs="Arial"/>
                <w:b/>
                <w:sz w:val="17"/>
                <w:szCs w:val="17"/>
              </w:rPr>
              <w:t>1,298,675,616</w:t>
            </w:r>
          </w:p>
        </w:tc>
        <w:tc>
          <w:tcPr>
            <w:tcW w:w="2180" w:type="dxa"/>
            <w:tcBorders>
              <w:top w:val="single" w:sz="4" w:space="0" w:color="auto"/>
              <w:left w:val="nil"/>
              <w:bottom w:val="single" w:sz="4" w:space="0" w:color="auto"/>
              <w:right w:val="single" w:sz="4" w:space="0" w:color="auto"/>
            </w:tcBorders>
            <w:shd w:val="clear" w:color="000000" w:fill="FFFFFF"/>
            <w:noWrap/>
          </w:tcPr>
          <w:p w:rsidR="00DC330B" w:rsidRPr="00DC330B" w:rsidRDefault="00DC330B" w:rsidP="00DC330B">
            <w:pPr>
              <w:jc w:val="right"/>
              <w:rPr>
                <w:rFonts w:ascii="Arial" w:hAnsi="Arial" w:cs="Arial"/>
                <w:b/>
                <w:sz w:val="17"/>
                <w:szCs w:val="17"/>
              </w:rPr>
            </w:pPr>
            <w:r w:rsidRPr="00DC330B">
              <w:rPr>
                <w:rFonts w:ascii="Arial" w:hAnsi="Arial" w:cs="Arial"/>
                <w:b/>
                <w:sz w:val="17"/>
                <w:szCs w:val="17"/>
              </w:rPr>
              <w:t>1,350,457,406</w:t>
            </w:r>
          </w:p>
        </w:tc>
      </w:tr>
    </w:tbl>
    <w:p w:rsidR="00510FDC" w:rsidRDefault="00510FDC" w:rsidP="00510FD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El rubro de Servicios Personales está distribuido de la siguiente manera:</w:t>
      </w:r>
    </w:p>
    <w:p w:rsidR="00510FDC" w:rsidRPr="002D70DA" w:rsidRDefault="00510FDC" w:rsidP="00510F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8A039E"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039E" w:rsidRPr="002D70DA" w:rsidRDefault="008A039E"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8A039E"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8F3F37"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Comisión de Transparencia y Acceso a la</w:t>
            </w:r>
          </w:p>
          <w:p w:rsidR="008F3F37" w:rsidRPr="00560A6D" w:rsidRDefault="008F3F37" w:rsidP="008F3F3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14,198,825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13,075,524 </w:t>
            </w:r>
          </w:p>
        </w:tc>
      </w:tr>
      <w:tr w:rsidR="008F3F37"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22,288,673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24,767,336 </w:t>
            </w:r>
          </w:p>
        </w:tc>
      </w:tr>
      <w:tr w:rsidR="008F3F37"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Entidad Superior de Fiscalización del Estado de</w:t>
            </w:r>
          </w:p>
          <w:p w:rsidR="008F3F37" w:rsidRPr="00C34218" w:rsidRDefault="008F3F37" w:rsidP="008F3F3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71,976,905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68,301,981 </w:t>
            </w:r>
          </w:p>
        </w:tc>
      </w:tr>
      <w:tr w:rsidR="008F3F37"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687,741,974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640,636,352 </w:t>
            </w:r>
          </w:p>
        </w:tc>
      </w:tr>
      <w:tr w:rsidR="008F3F37"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55,396,344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93,026,998 </w:t>
            </w:r>
          </w:p>
        </w:tc>
      </w:tr>
      <w:tr w:rsidR="008F3F37"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13,353,679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14,861,642 </w:t>
            </w:r>
          </w:p>
        </w:tc>
      </w:tr>
      <w:tr w:rsidR="008F3F37"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Tribunal de Justicia Administrativa del Estado de</w:t>
            </w:r>
          </w:p>
          <w:p w:rsidR="008F3F37" w:rsidRPr="00560A6D" w:rsidRDefault="008F3F37" w:rsidP="008F3F3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36,852,601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33,746,965 </w:t>
            </w:r>
          </w:p>
        </w:tc>
      </w:tr>
      <w:tr w:rsidR="008F3F37" w:rsidRPr="002D70DA" w:rsidTr="00DC330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21,674,423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24,005,342 </w:t>
            </w:r>
          </w:p>
        </w:tc>
      </w:tr>
      <w:tr w:rsidR="00DC330B" w:rsidRPr="002D70DA" w:rsidTr="00DC330B">
        <w:trPr>
          <w:trHeight w:val="240"/>
          <w:jc w:val="center"/>
        </w:trPr>
        <w:tc>
          <w:tcPr>
            <w:tcW w:w="4900" w:type="dxa"/>
            <w:tcBorders>
              <w:top w:val="nil"/>
              <w:left w:val="nil"/>
              <w:bottom w:val="nil"/>
              <w:right w:val="single" w:sz="4" w:space="0" w:color="auto"/>
            </w:tcBorders>
            <w:shd w:val="clear" w:color="000000" w:fill="FFFFFF"/>
            <w:vAlign w:val="center"/>
            <w:hideMark/>
          </w:tcPr>
          <w:p w:rsidR="00DC330B" w:rsidRPr="002D70DA" w:rsidRDefault="00DC330B" w:rsidP="00DC330B">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DC330B" w:rsidRPr="00DC330B" w:rsidRDefault="00DC330B" w:rsidP="00DC330B">
            <w:pPr>
              <w:jc w:val="right"/>
              <w:rPr>
                <w:rFonts w:ascii="Arial" w:hAnsi="Arial" w:cs="Arial"/>
                <w:sz w:val="17"/>
                <w:szCs w:val="17"/>
              </w:rPr>
            </w:pPr>
            <w:r w:rsidRPr="00DC330B">
              <w:rPr>
                <w:rFonts w:ascii="Arial" w:hAnsi="Arial" w:cs="Arial"/>
                <w:sz w:val="17"/>
                <w:szCs w:val="17"/>
              </w:rPr>
              <w:t xml:space="preserve">923,483,424 </w:t>
            </w:r>
          </w:p>
        </w:tc>
        <w:tc>
          <w:tcPr>
            <w:tcW w:w="2180" w:type="dxa"/>
            <w:tcBorders>
              <w:top w:val="nil"/>
              <w:left w:val="single" w:sz="4" w:space="0" w:color="auto"/>
              <w:bottom w:val="single" w:sz="4" w:space="0" w:color="auto"/>
              <w:right w:val="single" w:sz="4" w:space="0" w:color="auto"/>
            </w:tcBorders>
            <w:shd w:val="clear" w:color="000000" w:fill="FFFFFF"/>
          </w:tcPr>
          <w:p w:rsidR="00DC330B" w:rsidRPr="00DC330B" w:rsidRDefault="00DC330B" w:rsidP="00DC330B">
            <w:pPr>
              <w:jc w:val="right"/>
              <w:rPr>
                <w:rFonts w:ascii="Arial" w:hAnsi="Arial" w:cs="Arial"/>
                <w:sz w:val="17"/>
                <w:szCs w:val="17"/>
              </w:rPr>
            </w:pPr>
            <w:r w:rsidRPr="00DC330B">
              <w:rPr>
                <w:rFonts w:ascii="Arial" w:hAnsi="Arial" w:cs="Arial"/>
                <w:sz w:val="17"/>
                <w:szCs w:val="17"/>
              </w:rPr>
              <w:t xml:space="preserve">912,422,139 </w:t>
            </w:r>
          </w:p>
        </w:tc>
      </w:tr>
    </w:tbl>
    <w:p w:rsidR="00B96342" w:rsidRDefault="00B96342" w:rsidP="000337D3">
      <w:pPr>
        <w:autoSpaceDE w:val="0"/>
        <w:autoSpaceDN w:val="0"/>
        <w:adjustRightInd w:val="0"/>
        <w:spacing w:before="240" w:after="120"/>
        <w:ind w:left="709"/>
        <w:rPr>
          <w:rFonts w:ascii="Arial" w:eastAsia="Calibri" w:hAnsi="Arial" w:cs="Arial"/>
          <w:spacing w:val="-1"/>
          <w:sz w:val="17"/>
          <w:szCs w:val="17"/>
        </w:rPr>
      </w:pPr>
    </w:p>
    <w:p w:rsidR="00B96342" w:rsidRDefault="00B96342">
      <w:pPr>
        <w:rPr>
          <w:rFonts w:ascii="Arial" w:eastAsia="Calibri" w:hAnsi="Arial" w:cs="Arial"/>
          <w:spacing w:val="-1"/>
          <w:sz w:val="17"/>
          <w:szCs w:val="17"/>
        </w:rPr>
      </w:pPr>
      <w:r>
        <w:rPr>
          <w:rFonts w:ascii="Arial" w:eastAsia="Calibri" w:hAnsi="Arial" w:cs="Arial"/>
          <w:spacing w:val="-1"/>
          <w:sz w:val="17"/>
          <w:szCs w:val="17"/>
        </w:rPr>
        <w:br w:type="page"/>
      </w:r>
    </w:p>
    <w:p w:rsidR="000337D3" w:rsidRDefault="000337D3" w:rsidP="000337D3">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Pr="000337D3">
        <w:rPr>
          <w:rFonts w:ascii="Arial" w:eastAsia="Calibri" w:hAnsi="Arial" w:cs="Arial"/>
          <w:spacing w:val="-1"/>
          <w:sz w:val="17"/>
          <w:szCs w:val="17"/>
        </w:rPr>
        <w:t>Materiales y Suministros</w:t>
      </w:r>
      <w:r>
        <w:rPr>
          <w:rFonts w:ascii="Arial" w:eastAsia="Calibri" w:hAnsi="Arial" w:cs="Arial"/>
          <w:spacing w:val="-1"/>
          <w:sz w:val="17"/>
          <w:szCs w:val="17"/>
        </w:rPr>
        <w:t xml:space="preserve"> está distribuido de la siguiente manera:</w:t>
      </w:r>
    </w:p>
    <w:p w:rsidR="000337D3" w:rsidRPr="002D70DA" w:rsidRDefault="000337D3" w:rsidP="000337D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8F3F3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Comisión de Transparencia y Acceso a la</w:t>
            </w:r>
          </w:p>
          <w:p w:rsidR="008F3F37" w:rsidRPr="00560A6D" w:rsidRDefault="008F3F37" w:rsidP="008F3F3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1,013,299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1,138,495 </w:t>
            </w:r>
          </w:p>
        </w:tc>
      </w:tr>
      <w:tr w:rsidR="008F3F3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1,099,305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1,246,442 </w:t>
            </w:r>
          </w:p>
        </w:tc>
      </w:tr>
      <w:tr w:rsidR="008F3F3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Entidad Superior de Fiscalización del Estado de</w:t>
            </w:r>
          </w:p>
          <w:p w:rsidR="008F3F37" w:rsidRPr="00C34218" w:rsidRDefault="008F3F37" w:rsidP="008F3F3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1,797,996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2,025,219 </w:t>
            </w:r>
          </w:p>
        </w:tc>
      </w:tr>
      <w:tr w:rsidR="008F3F3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57,699,718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72,319,490 </w:t>
            </w:r>
          </w:p>
        </w:tc>
      </w:tr>
      <w:tr w:rsidR="008F3F3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1,573,663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16,605,604 </w:t>
            </w:r>
          </w:p>
        </w:tc>
      </w:tr>
      <w:tr w:rsidR="008F3F3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1,700,436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592,757 </w:t>
            </w:r>
          </w:p>
        </w:tc>
      </w:tr>
      <w:tr w:rsidR="008F3F3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C34218" w:rsidRDefault="008F3F37" w:rsidP="008F3F37">
            <w:pPr>
              <w:ind w:left="497"/>
              <w:rPr>
                <w:rFonts w:ascii="Arial" w:hAnsi="Arial" w:cs="Arial"/>
                <w:sz w:val="17"/>
                <w:szCs w:val="17"/>
              </w:rPr>
            </w:pPr>
            <w:r w:rsidRPr="00C34218">
              <w:rPr>
                <w:rFonts w:ascii="Arial" w:hAnsi="Arial" w:cs="Arial"/>
                <w:sz w:val="17"/>
                <w:szCs w:val="17"/>
              </w:rPr>
              <w:t>Tribunal de Justicia Administrativa del Estado de</w:t>
            </w:r>
          </w:p>
          <w:p w:rsidR="008F3F37" w:rsidRPr="00560A6D" w:rsidRDefault="008F3F37" w:rsidP="008F3F3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1,242,832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1,167,395 </w:t>
            </w:r>
          </w:p>
        </w:tc>
      </w:tr>
      <w:tr w:rsidR="008F3F3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8F3F37" w:rsidRPr="00560A6D" w:rsidRDefault="008F3F37" w:rsidP="008F3F3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166,580 </w:t>
            </w:r>
          </w:p>
        </w:tc>
        <w:tc>
          <w:tcPr>
            <w:tcW w:w="2180" w:type="dxa"/>
            <w:tcBorders>
              <w:top w:val="single" w:sz="4" w:space="0" w:color="auto"/>
              <w:left w:val="nil"/>
              <w:bottom w:val="single" w:sz="4" w:space="0" w:color="auto"/>
              <w:right w:val="single" w:sz="4" w:space="0" w:color="auto"/>
            </w:tcBorders>
            <w:shd w:val="clear" w:color="auto" w:fill="auto"/>
          </w:tcPr>
          <w:p w:rsidR="008F3F37" w:rsidRPr="008F3F37" w:rsidRDefault="008F3F37" w:rsidP="008F3F37">
            <w:pPr>
              <w:jc w:val="right"/>
              <w:rPr>
                <w:rFonts w:ascii="Arial" w:hAnsi="Arial" w:cs="Arial"/>
                <w:sz w:val="17"/>
                <w:szCs w:val="17"/>
              </w:rPr>
            </w:pPr>
            <w:r w:rsidRPr="008F3F37">
              <w:rPr>
                <w:rFonts w:ascii="Arial" w:hAnsi="Arial" w:cs="Arial"/>
                <w:sz w:val="17"/>
                <w:szCs w:val="17"/>
              </w:rPr>
              <w:t xml:space="preserve">296,025 </w:t>
            </w:r>
          </w:p>
        </w:tc>
      </w:tr>
      <w:tr w:rsidR="00B96342" w:rsidRPr="002D70DA" w:rsidTr="00B96342">
        <w:trPr>
          <w:trHeight w:val="240"/>
          <w:jc w:val="center"/>
        </w:trPr>
        <w:tc>
          <w:tcPr>
            <w:tcW w:w="4900" w:type="dxa"/>
            <w:tcBorders>
              <w:top w:val="nil"/>
              <w:left w:val="nil"/>
              <w:bottom w:val="nil"/>
              <w:right w:val="single" w:sz="4" w:space="0" w:color="auto"/>
            </w:tcBorders>
            <w:shd w:val="clear" w:color="000000" w:fill="FFFFFF"/>
            <w:vAlign w:val="center"/>
            <w:hideMark/>
          </w:tcPr>
          <w:p w:rsidR="00B96342" w:rsidRPr="002D70DA" w:rsidRDefault="00B96342" w:rsidP="00B9634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96342" w:rsidRPr="00B96342" w:rsidRDefault="00B96342" w:rsidP="00B96342">
            <w:pPr>
              <w:jc w:val="right"/>
              <w:rPr>
                <w:rFonts w:ascii="Arial" w:hAnsi="Arial" w:cs="Arial"/>
                <w:b/>
                <w:sz w:val="17"/>
                <w:szCs w:val="17"/>
              </w:rPr>
            </w:pPr>
            <w:r w:rsidRPr="00B96342">
              <w:rPr>
                <w:rFonts w:ascii="Arial" w:hAnsi="Arial" w:cs="Arial"/>
                <w:b/>
                <w:sz w:val="17"/>
                <w:szCs w:val="17"/>
              </w:rPr>
              <w:t xml:space="preserve">66,293,828 </w:t>
            </w:r>
          </w:p>
        </w:tc>
        <w:tc>
          <w:tcPr>
            <w:tcW w:w="2180" w:type="dxa"/>
            <w:tcBorders>
              <w:top w:val="nil"/>
              <w:left w:val="single" w:sz="4" w:space="0" w:color="auto"/>
              <w:bottom w:val="single" w:sz="4" w:space="0" w:color="auto"/>
              <w:right w:val="single" w:sz="4" w:space="0" w:color="auto"/>
            </w:tcBorders>
            <w:shd w:val="clear" w:color="000000" w:fill="FFFFFF"/>
          </w:tcPr>
          <w:p w:rsidR="00B96342" w:rsidRPr="00B96342" w:rsidRDefault="00B96342" w:rsidP="00B96342">
            <w:pPr>
              <w:jc w:val="right"/>
              <w:rPr>
                <w:rFonts w:ascii="Arial" w:hAnsi="Arial" w:cs="Arial"/>
                <w:b/>
                <w:sz w:val="17"/>
                <w:szCs w:val="17"/>
              </w:rPr>
            </w:pPr>
            <w:r w:rsidRPr="00B96342">
              <w:rPr>
                <w:rFonts w:ascii="Arial" w:hAnsi="Arial" w:cs="Arial"/>
                <w:b/>
                <w:sz w:val="17"/>
                <w:szCs w:val="17"/>
              </w:rPr>
              <w:t xml:space="preserve">95,391,427 </w:t>
            </w:r>
          </w:p>
        </w:tc>
      </w:tr>
    </w:tbl>
    <w:p w:rsidR="002165BD" w:rsidRDefault="002165BD" w:rsidP="002165BD">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2165BD">
        <w:rPr>
          <w:rFonts w:ascii="Arial" w:eastAsia="Calibri" w:hAnsi="Arial" w:cs="Arial"/>
          <w:spacing w:val="-1"/>
          <w:sz w:val="17"/>
          <w:szCs w:val="17"/>
        </w:rPr>
        <w:t>Servicios Generales</w:t>
      </w:r>
      <w:r>
        <w:rPr>
          <w:rFonts w:ascii="Arial" w:eastAsia="Calibri" w:hAnsi="Arial" w:cs="Arial"/>
          <w:spacing w:val="-1"/>
          <w:sz w:val="17"/>
          <w:szCs w:val="17"/>
        </w:rPr>
        <w:t xml:space="preserve"> está distribuido de la siguiente manera:</w:t>
      </w:r>
    </w:p>
    <w:p w:rsidR="002165BD" w:rsidRPr="002D70DA" w:rsidRDefault="002165BD" w:rsidP="002165B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B77808"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77808" w:rsidRPr="002D70DA" w:rsidRDefault="00B77808"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77808"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1235F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Comisión de Transparencia y Acceso a la</w:t>
            </w:r>
          </w:p>
          <w:p w:rsidR="001235F7" w:rsidRPr="00560A6D" w:rsidRDefault="001235F7" w:rsidP="001235F7">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2,666,412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2,546,171 </w:t>
            </w:r>
          </w:p>
        </w:tc>
      </w:tr>
      <w:tr w:rsidR="001235F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560A6D" w:rsidRDefault="001235F7" w:rsidP="001235F7">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5,275,570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5,552,092 </w:t>
            </w:r>
          </w:p>
        </w:tc>
      </w:tr>
      <w:tr w:rsidR="001235F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Entidad Superior de Fiscalización del Estado de</w:t>
            </w:r>
          </w:p>
          <w:p w:rsidR="001235F7" w:rsidRPr="00C34218" w:rsidRDefault="001235F7" w:rsidP="001235F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15,375,579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13,224,412 </w:t>
            </w:r>
          </w:p>
        </w:tc>
      </w:tr>
      <w:tr w:rsidR="001235F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82,506,230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63,515,377 </w:t>
            </w:r>
          </w:p>
        </w:tc>
      </w:tr>
      <w:tr w:rsidR="001235F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560A6D" w:rsidRDefault="001235F7" w:rsidP="001235F7">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9,318,830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47,884,686 </w:t>
            </w:r>
          </w:p>
        </w:tc>
      </w:tr>
      <w:tr w:rsidR="001235F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4,681,112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3,529,904 </w:t>
            </w:r>
          </w:p>
        </w:tc>
      </w:tr>
      <w:tr w:rsidR="001235F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C34218" w:rsidRDefault="001235F7" w:rsidP="001235F7">
            <w:pPr>
              <w:ind w:left="497"/>
              <w:rPr>
                <w:rFonts w:ascii="Arial" w:hAnsi="Arial" w:cs="Arial"/>
                <w:sz w:val="17"/>
                <w:szCs w:val="17"/>
              </w:rPr>
            </w:pPr>
            <w:r w:rsidRPr="00C34218">
              <w:rPr>
                <w:rFonts w:ascii="Arial" w:hAnsi="Arial" w:cs="Arial"/>
                <w:sz w:val="17"/>
                <w:szCs w:val="17"/>
              </w:rPr>
              <w:t>Tribunal de Justicia Administrativa del Estado de</w:t>
            </w:r>
          </w:p>
          <w:p w:rsidR="001235F7" w:rsidRPr="00560A6D" w:rsidRDefault="001235F7" w:rsidP="001235F7">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4,181,129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4,336,705 </w:t>
            </w:r>
          </w:p>
        </w:tc>
      </w:tr>
      <w:tr w:rsidR="001235F7" w:rsidRPr="002D70DA" w:rsidTr="00B9634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1235F7" w:rsidRPr="00560A6D" w:rsidRDefault="001235F7" w:rsidP="001235F7">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2,270,655 </w:t>
            </w:r>
          </w:p>
        </w:tc>
        <w:tc>
          <w:tcPr>
            <w:tcW w:w="2180" w:type="dxa"/>
            <w:tcBorders>
              <w:top w:val="single" w:sz="4" w:space="0" w:color="auto"/>
              <w:left w:val="nil"/>
              <w:bottom w:val="single" w:sz="4" w:space="0" w:color="auto"/>
              <w:right w:val="single" w:sz="4" w:space="0" w:color="auto"/>
            </w:tcBorders>
            <w:shd w:val="clear" w:color="auto" w:fill="auto"/>
          </w:tcPr>
          <w:p w:rsidR="001235F7" w:rsidRPr="001235F7" w:rsidRDefault="001235F7" w:rsidP="001235F7">
            <w:pPr>
              <w:jc w:val="right"/>
              <w:rPr>
                <w:rFonts w:ascii="Arial" w:hAnsi="Arial" w:cs="Arial"/>
                <w:sz w:val="17"/>
                <w:szCs w:val="17"/>
              </w:rPr>
            </w:pPr>
            <w:r w:rsidRPr="001235F7">
              <w:rPr>
                <w:rFonts w:ascii="Arial" w:hAnsi="Arial" w:cs="Arial"/>
                <w:sz w:val="17"/>
                <w:szCs w:val="17"/>
              </w:rPr>
              <w:t xml:space="preserve">2,002,022 </w:t>
            </w:r>
          </w:p>
        </w:tc>
      </w:tr>
      <w:tr w:rsidR="00B96342" w:rsidRPr="002D70DA" w:rsidTr="00B96342">
        <w:trPr>
          <w:trHeight w:val="240"/>
          <w:jc w:val="center"/>
        </w:trPr>
        <w:tc>
          <w:tcPr>
            <w:tcW w:w="4900" w:type="dxa"/>
            <w:tcBorders>
              <w:top w:val="nil"/>
              <w:left w:val="nil"/>
              <w:bottom w:val="nil"/>
              <w:right w:val="single" w:sz="4" w:space="0" w:color="auto"/>
            </w:tcBorders>
            <w:shd w:val="clear" w:color="000000" w:fill="FFFFFF"/>
            <w:vAlign w:val="center"/>
            <w:hideMark/>
          </w:tcPr>
          <w:p w:rsidR="00B96342" w:rsidRPr="002D70DA" w:rsidRDefault="00B96342" w:rsidP="00B96342">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B96342" w:rsidRPr="00B96342" w:rsidRDefault="00B96342" w:rsidP="00B96342">
            <w:pPr>
              <w:jc w:val="right"/>
              <w:rPr>
                <w:rFonts w:ascii="Arial" w:hAnsi="Arial" w:cs="Arial"/>
                <w:b/>
                <w:sz w:val="17"/>
                <w:szCs w:val="17"/>
              </w:rPr>
            </w:pPr>
            <w:r w:rsidRPr="00B96342">
              <w:rPr>
                <w:rFonts w:ascii="Arial" w:hAnsi="Arial" w:cs="Arial"/>
                <w:b/>
                <w:sz w:val="17"/>
                <w:szCs w:val="17"/>
              </w:rPr>
              <w:t xml:space="preserve">126,275,517 </w:t>
            </w:r>
          </w:p>
        </w:tc>
        <w:tc>
          <w:tcPr>
            <w:tcW w:w="2180" w:type="dxa"/>
            <w:tcBorders>
              <w:top w:val="nil"/>
              <w:left w:val="single" w:sz="4" w:space="0" w:color="auto"/>
              <w:bottom w:val="single" w:sz="4" w:space="0" w:color="auto"/>
              <w:right w:val="single" w:sz="4" w:space="0" w:color="auto"/>
            </w:tcBorders>
            <w:shd w:val="clear" w:color="000000" w:fill="FFFFFF"/>
          </w:tcPr>
          <w:p w:rsidR="00B96342" w:rsidRPr="00B96342" w:rsidRDefault="00B96342" w:rsidP="00B96342">
            <w:pPr>
              <w:jc w:val="right"/>
              <w:rPr>
                <w:rFonts w:ascii="Arial" w:hAnsi="Arial" w:cs="Arial"/>
                <w:b/>
                <w:sz w:val="17"/>
                <w:szCs w:val="17"/>
              </w:rPr>
            </w:pPr>
            <w:r w:rsidRPr="00B96342">
              <w:rPr>
                <w:rFonts w:ascii="Arial" w:hAnsi="Arial" w:cs="Arial"/>
                <w:b/>
                <w:sz w:val="17"/>
                <w:szCs w:val="17"/>
              </w:rPr>
              <w:t xml:space="preserve">142,591,369 </w:t>
            </w:r>
          </w:p>
        </w:tc>
      </w:tr>
    </w:tbl>
    <w:p w:rsidR="00421629" w:rsidRDefault="00421629" w:rsidP="0058361C">
      <w:pPr>
        <w:autoSpaceDE w:val="0"/>
        <w:autoSpaceDN w:val="0"/>
        <w:adjustRightInd w:val="0"/>
        <w:spacing w:before="240" w:after="120"/>
        <w:ind w:left="709"/>
        <w:rPr>
          <w:rFonts w:ascii="Arial" w:eastAsia="Calibri" w:hAnsi="Arial" w:cs="Arial"/>
          <w:spacing w:val="-1"/>
          <w:sz w:val="17"/>
          <w:szCs w:val="17"/>
        </w:rPr>
      </w:pPr>
    </w:p>
    <w:p w:rsidR="00421629" w:rsidRDefault="00421629">
      <w:pPr>
        <w:rPr>
          <w:rFonts w:ascii="Arial" w:eastAsia="Calibri" w:hAnsi="Arial" w:cs="Arial"/>
          <w:spacing w:val="-1"/>
          <w:sz w:val="17"/>
          <w:szCs w:val="17"/>
        </w:rPr>
      </w:pPr>
      <w:r>
        <w:rPr>
          <w:rFonts w:ascii="Arial" w:eastAsia="Calibri" w:hAnsi="Arial" w:cs="Arial"/>
          <w:spacing w:val="-1"/>
          <w:sz w:val="17"/>
          <w:szCs w:val="17"/>
        </w:rPr>
        <w:br w:type="page"/>
      </w:r>
    </w:p>
    <w:p w:rsidR="0058361C" w:rsidRDefault="0058361C" w:rsidP="0058361C">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lastRenderedPageBreak/>
        <w:t xml:space="preserve">El rubro de </w:t>
      </w:r>
      <w:r w:rsidR="000B0333" w:rsidRPr="000B0333">
        <w:rPr>
          <w:rFonts w:ascii="Arial" w:eastAsia="Calibri" w:hAnsi="Arial" w:cs="Arial"/>
          <w:spacing w:val="-1"/>
          <w:sz w:val="17"/>
          <w:szCs w:val="17"/>
        </w:rPr>
        <w:t>Transferencias, Asignaciones, Subsidios y Otras Ayudas</w:t>
      </w:r>
      <w:r>
        <w:rPr>
          <w:rFonts w:ascii="Arial" w:eastAsia="Calibri" w:hAnsi="Arial" w:cs="Arial"/>
          <w:spacing w:val="-1"/>
          <w:sz w:val="17"/>
          <w:szCs w:val="17"/>
        </w:rPr>
        <w:t xml:space="preserve"> está distribuido de la siguiente manera:</w:t>
      </w:r>
    </w:p>
    <w:p w:rsidR="0058361C" w:rsidRPr="002D70DA" w:rsidRDefault="0058361C" w:rsidP="0058361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5D0A76"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5D0A76" w:rsidRPr="002D70DA" w:rsidRDefault="005D0A76"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D0A76"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BD5D24"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Comisión de Transparencia y Acceso a la</w:t>
            </w:r>
          </w:p>
          <w:p w:rsidR="00BD5D24" w:rsidRPr="00560A6D" w:rsidRDefault="00BD5D24" w:rsidP="00BD5D24">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545,144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527,993 </w:t>
            </w:r>
          </w:p>
        </w:tc>
      </w:tr>
      <w:tr w:rsidR="00BD5D24"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560A6D" w:rsidRDefault="00BD5D24" w:rsidP="00BD5D24">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2,147,692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2,101,826 </w:t>
            </w:r>
          </w:p>
        </w:tc>
      </w:tr>
      <w:tr w:rsidR="00BD5D24"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Entidad Superior de Fiscalización del Estado de</w:t>
            </w:r>
          </w:p>
          <w:p w:rsidR="00BD5D24" w:rsidRPr="00C34218" w:rsidRDefault="00BD5D24" w:rsidP="00BD5D24">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7,161,238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4,509,916 </w:t>
            </w:r>
          </w:p>
        </w:tc>
      </w:tr>
      <w:tr w:rsidR="00BD5D24"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33,233,830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24,590,657 </w:t>
            </w:r>
          </w:p>
        </w:tc>
      </w:tr>
      <w:tr w:rsidR="00BD5D24"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560A6D" w:rsidRDefault="00BD5D24" w:rsidP="00BD5D24">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89,921,513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114,170,194 </w:t>
            </w:r>
          </w:p>
        </w:tc>
      </w:tr>
      <w:tr w:rsidR="00BD5D24"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2,694,152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96,537 </w:t>
            </w:r>
          </w:p>
        </w:tc>
      </w:tr>
      <w:tr w:rsidR="00BD5D24"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BD5D24" w:rsidRPr="00C34218" w:rsidRDefault="00BD5D24" w:rsidP="00BD5D24">
            <w:pPr>
              <w:ind w:left="497"/>
              <w:rPr>
                <w:rFonts w:ascii="Arial" w:hAnsi="Arial" w:cs="Arial"/>
                <w:sz w:val="17"/>
                <w:szCs w:val="17"/>
              </w:rPr>
            </w:pPr>
            <w:r w:rsidRPr="00C34218">
              <w:rPr>
                <w:rFonts w:ascii="Arial" w:hAnsi="Arial" w:cs="Arial"/>
                <w:sz w:val="17"/>
                <w:szCs w:val="17"/>
              </w:rPr>
              <w:t>Tribunal de Justicia Administrativa del Estado de</w:t>
            </w:r>
          </w:p>
          <w:p w:rsidR="00BD5D24" w:rsidRPr="00560A6D" w:rsidRDefault="00BD5D24" w:rsidP="00BD5D24">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1,902,235 </w:t>
            </w:r>
          </w:p>
        </w:tc>
        <w:tc>
          <w:tcPr>
            <w:tcW w:w="2180" w:type="dxa"/>
            <w:tcBorders>
              <w:top w:val="single" w:sz="4" w:space="0" w:color="auto"/>
              <w:left w:val="nil"/>
              <w:bottom w:val="single" w:sz="4" w:space="0" w:color="auto"/>
              <w:right w:val="single" w:sz="4" w:space="0" w:color="auto"/>
            </w:tcBorders>
            <w:shd w:val="clear" w:color="auto" w:fill="auto"/>
          </w:tcPr>
          <w:p w:rsidR="00BD5D24" w:rsidRPr="00BD5D24" w:rsidRDefault="00BD5D24" w:rsidP="00BD5D24">
            <w:pPr>
              <w:jc w:val="right"/>
              <w:rPr>
                <w:rFonts w:ascii="Arial" w:hAnsi="Arial" w:cs="Arial"/>
                <w:sz w:val="17"/>
                <w:szCs w:val="17"/>
              </w:rPr>
            </w:pPr>
            <w:r w:rsidRPr="00BD5D24">
              <w:rPr>
                <w:rFonts w:ascii="Arial" w:hAnsi="Arial" w:cs="Arial"/>
                <w:sz w:val="17"/>
                <w:szCs w:val="17"/>
              </w:rPr>
              <w:t xml:space="preserve">1,715,105 </w:t>
            </w:r>
          </w:p>
        </w:tc>
      </w:tr>
      <w:tr w:rsidR="00421629" w:rsidRPr="002D70DA" w:rsidTr="00421629">
        <w:trPr>
          <w:trHeight w:val="240"/>
          <w:jc w:val="center"/>
        </w:trPr>
        <w:tc>
          <w:tcPr>
            <w:tcW w:w="4900" w:type="dxa"/>
            <w:tcBorders>
              <w:top w:val="nil"/>
              <w:left w:val="nil"/>
              <w:bottom w:val="nil"/>
              <w:right w:val="single" w:sz="4" w:space="0" w:color="auto"/>
            </w:tcBorders>
            <w:shd w:val="clear" w:color="000000" w:fill="FFFFFF"/>
            <w:vAlign w:val="center"/>
            <w:hideMark/>
          </w:tcPr>
          <w:p w:rsidR="00421629" w:rsidRPr="002D70DA" w:rsidRDefault="00421629" w:rsidP="0042162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21629" w:rsidRPr="00421629" w:rsidRDefault="00421629" w:rsidP="00421629">
            <w:pPr>
              <w:jc w:val="right"/>
              <w:rPr>
                <w:rFonts w:ascii="Arial" w:hAnsi="Arial" w:cs="Arial"/>
                <w:b/>
                <w:sz w:val="17"/>
                <w:szCs w:val="17"/>
              </w:rPr>
            </w:pPr>
            <w:r w:rsidRPr="00421629">
              <w:rPr>
                <w:rFonts w:ascii="Arial" w:hAnsi="Arial" w:cs="Arial"/>
                <w:b/>
                <w:sz w:val="17"/>
                <w:szCs w:val="17"/>
              </w:rPr>
              <w:t xml:space="preserve">137,605,804 </w:t>
            </w:r>
          </w:p>
        </w:tc>
        <w:tc>
          <w:tcPr>
            <w:tcW w:w="2180" w:type="dxa"/>
            <w:tcBorders>
              <w:top w:val="nil"/>
              <w:left w:val="single" w:sz="4" w:space="0" w:color="auto"/>
              <w:bottom w:val="single" w:sz="4" w:space="0" w:color="auto"/>
              <w:right w:val="single" w:sz="4" w:space="0" w:color="auto"/>
            </w:tcBorders>
            <w:shd w:val="clear" w:color="000000" w:fill="FFFFFF"/>
          </w:tcPr>
          <w:p w:rsidR="00421629" w:rsidRPr="00421629" w:rsidRDefault="00421629" w:rsidP="00421629">
            <w:pPr>
              <w:jc w:val="right"/>
              <w:rPr>
                <w:rFonts w:ascii="Arial" w:hAnsi="Arial" w:cs="Arial"/>
                <w:b/>
                <w:sz w:val="17"/>
                <w:szCs w:val="17"/>
              </w:rPr>
            </w:pPr>
            <w:r w:rsidRPr="00421629">
              <w:rPr>
                <w:rFonts w:ascii="Arial" w:hAnsi="Arial" w:cs="Arial"/>
                <w:b/>
                <w:sz w:val="17"/>
                <w:szCs w:val="17"/>
              </w:rPr>
              <w:t xml:space="preserve">147,712,229 </w:t>
            </w:r>
          </w:p>
        </w:tc>
      </w:tr>
    </w:tbl>
    <w:p w:rsidR="00245E5E" w:rsidRDefault="00245E5E">
      <w:pPr>
        <w:rPr>
          <w:rFonts w:ascii="Arial" w:eastAsia="Calibri" w:hAnsi="Arial" w:cs="Arial"/>
          <w:spacing w:val="-1"/>
          <w:sz w:val="17"/>
          <w:szCs w:val="17"/>
        </w:rPr>
      </w:pPr>
    </w:p>
    <w:p w:rsidR="006637C5" w:rsidRDefault="006637C5" w:rsidP="006637C5">
      <w:pPr>
        <w:autoSpaceDE w:val="0"/>
        <w:autoSpaceDN w:val="0"/>
        <w:adjustRightInd w:val="0"/>
        <w:spacing w:before="240" w:after="120"/>
        <w:ind w:left="709"/>
        <w:rPr>
          <w:rFonts w:ascii="Arial" w:eastAsia="Calibri" w:hAnsi="Arial" w:cs="Arial"/>
          <w:spacing w:val="-1"/>
          <w:sz w:val="17"/>
          <w:szCs w:val="17"/>
        </w:rPr>
      </w:pPr>
      <w:r>
        <w:rPr>
          <w:rFonts w:ascii="Arial" w:eastAsia="Calibri" w:hAnsi="Arial" w:cs="Arial"/>
          <w:spacing w:val="-1"/>
          <w:sz w:val="17"/>
          <w:szCs w:val="17"/>
        </w:rPr>
        <w:t xml:space="preserve">El rubro de </w:t>
      </w:r>
      <w:r w:rsidRPr="006637C5">
        <w:rPr>
          <w:rFonts w:ascii="Arial" w:eastAsia="Calibri" w:hAnsi="Arial" w:cs="Arial"/>
          <w:spacing w:val="-1"/>
          <w:sz w:val="17"/>
          <w:szCs w:val="17"/>
        </w:rPr>
        <w:t>Otros Gastos y Pérdidas Extraordinarias</w:t>
      </w:r>
      <w:r>
        <w:rPr>
          <w:rFonts w:ascii="Arial" w:eastAsia="Calibri" w:hAnsi="Arial" w:cs="Arial"/>
          <w:spacing w:val="-1"/>
          <w:sz w:val="17"/>
          <w:szCs w:val="17"/>
        </w:rPr>
        <w:t xml:space="preserve"> está distribuido de la siguiente manera:</w:t>
      </w:r>
    </w:p>
    <w:p w:rsidR="006637C5" w:rsidRPr="002D70DA" w:rsidRDefault="006637C5" w:rsidP="006637C5">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6637C5"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6637C5" w:rsidRPr="002D70DA" w:rsidRDefault="006637C5" w:rsidP="009831D5">
            <w:pPr>
              <w:jc w:val="center"/>
              <w:rPr>
                <w:rFonts w:ascii="Arial" w:hAnsi="Arial" w:cs="Arial"/>
                <w:b/>
                <w:bCs/>
                <w:color w:val="000000"/>
                <w:sz w:val="17"/>
                <w:szCs w:val="17"/>
              </w:rPr>
            </w:pPr>
            <w:r>
              <w:rPr>
                <w:rFonts w:ascii="Arial" w:hAnsi="Arial" w:cs="Arial"/>
                <w:b/>
                <w:bCs/>
                <w:color w:val="000000"/>
                <w:sz w:val="17"/>
                <w:szCs w:val="17"/>
              </w:rPr>
              <w:t>Entidad</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37C5" w:rsidRPr="002D70DA" w:rsidRDefault="009831D5" w:rsidP="009831D5">
            <w:pPr>
              <w:jc w:val="center"/>
              <w:rPr>
                <w:rFonts w:ascii="Arial" w:hAnsi="Arial" w:cs="Arial"/>
                <w:b/>
                <w:bCs/>
                <w:color w:val="000000"/>
                <w:sz w:val="17"/>
                <w:szCs w:val="17"/>
              </w:rPr>
            </w:pPr>
            <w:r>
              <w:rPr>
                <w:rFonts w:ascii="Arial" w:hAnsi="Arial" w:cs="Arial"/>
                <w:b/>
                <w:bCs/>
                <w:color w:val="000000"/>
                <w:sz w:val="17"/>
                <w:szCs w:val="17"/>
              </w:rPr>
              <w:t>2018</w:t>
            </w:r>
          </w:p>
        </w:tc>
      </w:tr>
      <w:tr w:rsidR="006736AF"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Comisión de Transparencia y Acceso a la</w:t>
            </w:r>
          </w:p>
          <w:p w:rsidR="006736AF" w:rsidRPr="00560A6D" w:rsidRDefault="006736AF" w:rsidP="006736AF">
            <w:pPr>
              <w:ind w:left="497"/>
              <w:rPr>
                <w:rFonts w:ascii="Arial" w:hAnsi="Arial" w:cs="Arial"/>
                <w:sz w:val="17"/>
                <w:szCs w:val="17"/>
              </w:rPr>
            </w:pPr>
            <w:r w:rsidRPr="00C34218">
              <w:rPr>
                <w:rFonts w:ascii="Arial" w:hAnsi="Arial" w:cs="Arial"/>
                <w:sz w:val="17"/>
                <w:szCs w:val="17"/>
              </w:rPr>
              <w:t>Información Pública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355,966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280,239 </w:t>
            </w:r>
          </w:p>
        </w:tc>
      </w:tr>
      <w:tr w:rsidR="006736AF"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560A6D" w:rsidRDefault="006736AF" w:rsidP="006736AF">
            <w:pPr>
              <w:ind w:left="497"/>
              <w:rPr>
                <w:rFonts w:ascii="Arial" w:hAnsi="Arial" w:cs="Arial"/>
                <w:sz w:val="17"/>
                <w:szCs w:val="17"/>
              </w:rPr>
            </w:pPr>
            <w:r w:rsidRPr="00C34218">
              <w:rPr>
                <w:rFonts w:ascii="Arial" w:hAnsi="Arial" w:cs="Arial"/>
                <w:sz w:val="17"/>
                <w:szCs w:val="17"/>
              </w:rPr>
              <w:t>Defensoría de los Derechos Humanos de 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358,040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594,080 </w:t>
            </w:r>
          </w:p>
        </w:tc>
      </w:tr>
      <w:tr w:rsidR="006736AF"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Entidad Superior de Fiscalización del Estado de</w:t>
            </w:r>
          </w:p>
          <w:p w:rsidR="006736AF" w:rsidRPr="00C34218" w:rsidRDefault="006736AF" w:rsidP="006736A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1,235,373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1,274,327 </w:t>
            </w:r>
          </w:p>
        </w:tc>
      </w:tr>
      <w:tr w:rsidR="006736AF"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Fiscalía General del Estado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41,104,168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48,124,437 </w:t>
            </w:r>
          </w:p>
        </w:tc>
      </w:tr>
      <w:tr w:rsidR="006736AF"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560A6D" w:rsidRDefault="006736AF" w:rsidP="006736AF">
            <w:pPr>
              <w:ind w:left="497"/>
              <w:rPr>
                <w:rFonts w:ascii="Arial" w:hAnsi="Arial" w:cs="Arial"/>
                <w:sz w:val="17"/>
                <w:szCs w:val="17"/>
              </w:rPr>
            </w:pPr>
            <w:r w:rsidRPr="00C34218">
              <w:rPr>
                <w:rFonts w:ascii="Arial" w:hAnsi="Arial" w:cs="Arial"/>
                <w:sz w:val="17"/>
                <w:szCs w:val="17"/>
              </w:rPr>
              <w:t>Instituto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1,565,500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1,720,691 </w:t>
            </w:r>
          </w:p>
        </w:tc>
      </w:tr>
      <w:tr w:rsidR="006736AF"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Tribunal de Conciliación y Arbitraje</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1,688 </w:t>
            </w:r>
          </w:p>
        </w:tc>
      </w:tr>
      <w:tr w:rsidR="006736AF"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C34218" w:rsidRDefault="006736AF" w:rsidP="006736AF">
            <w:pPr>
              <w:ind w:left="497"/>
              <w:rPr>
                <w:rFonts w:ascii="Arial" w:hAnsi="Arial" w:cs="Arial"/>
                <w:sz w:val="17"/>
                <w:szCs w:val="17"/>
              </w:rPr>
            </w:pPr>
            <w:r w:rsidRPr="00C34218">
              <w:rPr>
                <w:rFonts w:ascii="Arial" w:hAnsi="Arial" w:cs="Arial"/>
                <w:sz w:val="17"/>
                <w:szCs w:val="17"/>
              </w:rPr>
              <w:t>Tribunal de Justicia Administrativa del Estado de</w:t>
            </w:r>
          </w:p>
          <w:p w:rsidR="006736AF" w:rsidRPr="00560A6D" w:rsidRDefault="006736AF" w:rsidP="006736AF">
            <w:pPr>
              <w:ind w:left="497"/>
              <w:rPr>
                <w:rFonts w:ascii="Arial" w:hAnsi="Arial" w:cs="Arial"/>
                <w:sz w:val="17"/>
                <w:szCs w:val="17"/>
              </w:rPr>
            </w:pPr>
            <w:r w:rsidRPr="00C34218">
              <w:rPr>
                <w:rFonts w:ascii="Arial" w:hAnsi="Arial" w:cs="Arial"/>
                <w:sz w:val="17"/>
                <w:szCs w:val="17"/>
              </w:rPr>
              <w:t>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159,139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49,274 </w:t>
            </w:r>
          </w:p>
        </w:tc>
      </w:tr>
      <w:tr w:rsidR="006736AF" w:rsidRPr="002D70DA" w:rsidTr="0042162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tcPr>
          <w:p w:rsidR="006736AF" w:rsidRPr="00560A6D" w:rsidRDefault="006736AF" w:rsidP="006736AF">
            <w:pPr>
              <w:ind w:left="497"/>
              <w:rPr>
                <w:rFonts w:ascii="Arial" w:hAnsi="Arial" w:cs="Arial"/>
                <w:sz w:val="17"/>
                <w:szCs w:val="17"/>
              </w:rPr>
            </w:pPr>
            <w:r w:rsidRPr="00C34218">
              <w:rPr>
                <w:rFonts w:ascii="Arial" w:hAnsi="Arial" w:cs="Arial"/>
                <w:sz w:val="17"/>
                <w:szCs w:val="17"/>
              </w:rPr>
              <w:t>Tribunal Electoral del Estado de Querétaro</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238,858 </w:t>
            </w:r>
          </w:p>
        </w:tc>
        <w:tc>
          <w:tcPr>
            <w:tcW w:w="2180" w:type="dxa"/>
            <w:tcBorders>
              <w:top w:val="single" w:sz="4" w:space="0" w:color="auto"/>
              <w:left w:val="nil"/>
              <w:bottom w:val="single" w:sz="4" w:space="0" w:color="auto"/>
              <w:right w:val="single" w:sz="4" w:space="0" w:color="auto"/>
            </w:tcBorders>
            <w:shd w:val="clear" w:color="auto" w:fill="auto"/>
          </w:tcPr>
          <w:p w:rsidR="006736AF" w:rsidRPr="006736AF" w:rsidRDefault="006736AF" w:rsidP="006736AF">
            <w:pPr>
              <w:jc w:val="right"/>
              <w:rPr>
                <w:rFonts w:ascii="Arial" w:hAnsi="Arial" w:cs="Arial"/>
                <w:sz w:val="17"/>
                <w:szCs w:val="17"/>
              </w:rPr>
            </w:pPr>
            <w:r w:rsidRPr="006736AF">
              <w:rPr>
                <w:rFonts w:ascii="Arial" w:hAnsi="Arial" w:cs="Arial"/>
                <w:sz w:val="17"/>
                <w:szCs w:val="17"/>
              </w:rPr>
              <w:t xml:space="preserve">295,505 </w:t>
            </w:r>
          </w:p>
        </w:tc>
      </w:tr>
      <w:tr w:rsidR="00421629" w:rsidRPr="002D70DA" w:rsidTr="00421629">
        <w:trPr>
          <w:trHeight w:val="240"/>
          <w:jc w:val="center"/>
        </w:trPr>
        <w:tc>
          <w:tcPr>
            <w:tcW w:w="4900" w:type="dxa"/>
            <w:tcBorders>
              <w:top w:val="nil"/>
              <w:left w:val="nil"/>
              <w:bottom w:val="nil"/>
              <w:right w:val="single" w:sz="4" w:space="0" w:color="auto"/>
            </w:tcBorders>
            <w:shd w:val="clear" w:color="000000" w:fill="FFFFFF"/>
            <w:vAlign w:val="center"/>
            <w:hideMark/>
          </w:tcPr>
          <w:p w:rsidR="00421629" w:rsidRPr="002D70DA" w:rsidRDefault="00421629" w:rsidP="00421629">
            <w:pPr>
              <w:jc w:val="center"/>
              <w:rPr>
                <w:rFonts w:ascii="Arial" w:hAnsi="Arial" w:cs="Arial"/>
                <w:b/>
                <w:bCs/>
                <w:color w:val="000000"/>
                <w:sz w:val="17"/>
                <w:szCs w:val="17"/>
              </w:rPr>
            </w:pPr>
            <w:r w:rsidRPr="002D70DA">
              <w:rPr>
                <w:rFonts w:ascii="Arial" w:hAnsi="Arial" w:cs="Arial"/>
                <w:b/>
                <w:bCs/>
                <w:color w:val="000000"/>
                <w:sz w:val="17"/>
                <w:szCs w:val="17"/>
              </w:rPr>
              <w:t>T</w:t>
            </w:r>
            <w:r>
              <w:rPr>
                <w:rFonts w:ascii="Arial" w:hAnsi="Arial" w:cs="Arial"/>
                <w:b/>
                <w:bCs/>
                <w:color w:val="000000"/>
                <w:sz w:val="17"/>
                <w:szCs w:val="17"/>
              </w:rPr>
              <w:t>otal</w:t>
            </w:r>
          </w:p>
        </w:tc>
        <w:tc>
          <w:tcPr>
            <w:tcW w:w="2180" w:type="dxa"/>
            <w:tcBorders>
              <w:top w:val="single" w:sz="4" w:space="0" w:color="auto"/>
              <w:left w:val="single" w:sz="4" w:space="0" w:color="auto"/>
              <w:bottom w:val="single" w:sz="4" w:space="0" w:color="auto"/>
              <w:right w:val="nil"/>
            </w:tcBorders>
            <w:shd w:val="clear" w:color="000000" w:fill="FFFFFF"/>
          </w:tcPr>
          <w:p w:rsidR="00421629" w:rsidRPr="00421629" w:rsidRDefault="00421629" w:rsidP="00421629">
            <w:pPr>
              <w:jc w:val="right"/>
              <w:rPr>
                <w:rFonts w:ascii="Arial" w:hAnsi="Arial" w:cs="Arial"/>
                <w:b/>
                <w:sz w:val="17"/>
                <w:szCs w:val="17"/>
              </w:rPr>
            </w:pPr>
            <w:r w:rsidRPr="00421629">
              <w:rPr>
                <w:rFonts w:ascii="Arial" w:hAnsi="Arial" w:cs="Arial"/>
                <w:b/>
                <w:sz w:val="17"/>
                <w:szCs w:val="17"/>
              </w:rPr>
              <w:t xml:space="preserve">45,017,042 </w:t>
            </w:r>
          </w:p>
        </w:tc>
        <w:tc>
          <w:tcPr>
            <w:tcW w:w="2180" w:type="dxa"/>
            <w:tcBorders>
              <w:top w:val="nil"/>
              <w:left w:val="single" w:sz="4" w:space="0" w:color="auto"/>
              <w:bottom w:val="single" w:sz="4" w:space="0" w:color="auto"/>
              <w:right w:val="single" w:sz="4" w:space="0" w:color="auto"/>
            </w:tcBorders>
            <w:shd w:val="clear" w:color="000000" w:fill="FFFFFF"/>
          </w:tcPr>
          <w:p w:rsidR="00421629" w:rsidRPr="00421629" w:rsidRDefault="00421629" w:rsidP="00421629">
            <w:pPr>
              <w:jc w:val="right"/>
              <w:rPr>
                <w:rFonts w:ascii="Arial" w:hAnsi="Arial" w:cs="Arial"/>
                <w:b/>
                <w:sz w:val="17"/>
                <w:szCs w:val="17"/>
              </w:rPr>
            </w:pPr>
            <w:r w:rsidRPr="00421629">
              <w:rPr>
                <w:rFonts w:ascii="Arial" w:hAnsi="Arial" w:cs="Arial"/>
                <w:b/>
                <w:sz w:val="17"/>
                <w:szCs w:val="17"/>
              </w:rPr>
              <w:t xml:space="preserve">52,340,242 </w:t>
            </w:r>
          </w:p>
        </w:tc>
      </w:tr>
    </w:tbl>
    <w:p w:rsidR="006637C5" w:rsidRDefault="006637C5" w:rsidP="00EA1982">
      <w:pPr>
        <w:autoSpaceDE w:val="0"/>
        <w:autoSpaceDN w:val="0"/>
        <w:adjustRightInd w:val="0"/>
        <w:spacing w:before="240" w:after="120"/>
        <w:ind w:left="709"/>
        <w:rPr>
          <w:rFonts w:ascii="Arial" w:eastAsia="Calibri" w:hAnsi="Arial" w:cs="Arial"/>
          <w:spacing w:val="-1"/>
          <w:sz w:val="17"/>
          <w:szCs w:val="17"/>
        </w:rPr>
      </w:pPr>
    </w:p>
    <w:p w:rsidR="00FC5EA8" w:rsidRDefault="00FC5EA8">
      <w:pPr>
        <w:rPr>
          <w:rFonts w:ascii="Arial" w:eastAsia="Calibri" w:hAnsi="Arial" w:cs="Arial"/>
          <w:spacing w:val="-1"/>
          <w:sz w:val="17"/>
          <w:szCs w:val="17"/>
        </w:rPr>
      </w:pPr>
      <w:r>
        <w:rPr>
          <w:rFonts w:ascii="Arial" w:eastAsia="Calibri" w:hAnsi="Arial" w:cs="Arial"/>
          <w:spacing w:val="-1"/>
          <w:sz w:val="17"/>
          <w:szCs w:val="17"/>
        </w:rPr>
        <w:br w:type="page"/>
      </w:r>
    </w:p>
    <w:p w:rsidR="00BC0DE0" w:rsidRPr="002D70DA" w:rsidRDefault="00BC0DE0" w:rsidP="00E76A8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932DF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DE0" w:rsidRPr="002D70DA" w:rsidRDefault="002470B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C0DE0" w:rsidRPr="00F165DD" w:rsidRDefault="00E81A88">
            <w:pPr>
              <w:jc w:val="right"/>
              <w:rPr>
                <w:rFonts w:ascii="Arial" w:hAnsi="Arial" w:cs="Arial"/>
                <w:b/>
                <w:bCs/>
                <w:color w:val="000000"/>
                <w:sz w:val="17"/>
                <w:szCs w:val="17"/>
              </w:rPr>
            </w:pPr>
            <w:r w:rsidRPr="00E81A88">
              <w:rPr>
                <w:rFonts w:ascii="Arial" w:hAnsi="Arial" w:cs="Arial"/>
                <w:b/>
                <w:bCs/>
                <w:color w:val="000000"/>
                <w:sz w:val="17"/>
                <w:szCs w:val="17"/>
              </w:rPr>
              <w:t>1,298,675,616</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2A58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C0DE0" w:rsidRPr="002D70DA" w:rsidRDefault="002470B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F50E22"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F50E22" w:rsidRPr="00F50E22" w:rsidRDefault="00E81A88" w:rsidP="00F50E22">
            <w:pPr>
              <w:rPr>
                <w:rFonts w:ascii="Arial" w:hAnsi="Arial" w:cs="Arial"/>
                <w:sz w:val="17"/>
                <w:szCs w:val="17"/>
              </w:rPr>
            </w:pPr>
            <w:r w:rsidRPr="00E81A88">
              <w:rPr>
                <w:rFonts w:ascii="Arial" w:hAnsi="Arial" w:cs="Arial"/>
                <w:sz w:val="17"/>
                <w:szCs w:val="17"/>
              </w:rPr>
              <w:t>Remuneraciones al Personal de Carácter Permanente</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E81A88" w:rsidP="00F50E22">
            <w:pPr>
              <w:jc w:val="right"/>
              <w:rPr>
                <w:rFonts w:ascii="Arial" w:hAnsi="Arial" w:cs="Arial"/>
                <w:bCs/>
                <w:color w:val="000000"/>
                <w:sz w:val="17"/>
                <w:szCs w:val="17"/>
              </w:rPr>
            </w:pPr>
            <w:r w:rsidRPr="00E81A88">
              <w:rPr>
                <w:rFonts w:ascii="Arial" w:hAnsi="Arial" w:cs="Arial"/>
                <w:bCs/>
                <w:color w:val="000000"/>
                <w:sz w:val="17"/>
                <w:szCs w:val="17"/>
              </w:rPr>
              <w:t>448,840,673</w:t>
            </w:r>
          </w:p>
        </w:tc>
        <w:tc>
          <w:tcPr>
            <w:tcW w:w="2180" w:type="dxa"/>
            <w:tcBorders>
              <w:top w:val="single" w:sz="4" w:space="0" w:color="auto"/>
              <w:left w:val="nil"/>
              <w:bottom w:val="single" w:sz="4" w:space="0" w:color="auto"/>
              <w:right w:val="single" w:sz="4" w:space="0" w:color="auto"/>
            </w:tcBorders>
            <w:shd w:val="clear" w:color="auto" w:fill="auto"/>
          </w:tcPr>
          <w:p w:rsidR="00F50E22" w:rsidRPr="00F50E22" w:rsidRDefault="00E81A88" w:rsidP="00E81A88">
            <w:pPr>
              <w:jc w:val="right"/>
              <w:rPr>
                <w:rFonts w:ascii="Arial" w:hAnsi="Arial" w:cs="Arial"/>
                <w:bCs/>
                <w:color w:val="000000"/>
                <w:sz w:val="17"/>
                <w:szCs w:val="17"/>
              </w:rPr>
            </w:pPr>
            <w:r>
              <w:rPr>
                <w:rFonts w:ascii="Arial" w:hAnsi="Arial" w:cs="Arial"/>
                <w:bCs/>
                <w:color w:val="000000"/>
                <w:sz w:val="17"/>
                <w:szCs w:val="17"/>
              </w:rPr>
              <w:t>3</w:t>
            </w:r>
            <w:r w:rsidR="00D561B4" w:rsidRPr="00D561B4">
              <w:rPr>
                <w:rFonts w:ascii="Arial" w:hAnsi="Arial" w:cs="Arial"/>
                <w:bCs/>
                <w:color w:val="000000"/>
                <w:sz w:val="17"/>
                <w:szCs w:val="17"/>
              </w:rPr>
              <w:t>4.</w:t>
            </w:r>
            <w:r>
              <w:rPr>
                <w:rFonts w:ascii="Arial" w:hAnsi="Arial" w:cs="Arial"/>
                <w:bCs/>
                <w:color w:val="000000"/>
                <w:sz w:val="17"/>
                <w:szCs w:val="17"/>
              </w:rPr>
              <w:t>56</w:t>
            </w:r>
            <w:r w:rsidR="00D561B4" w:rsidRPr="00D561B4">
              <w:rPr>
                <w:rFonts w:ascii="Arial" w:hAnsi="Arial" w:cs="Arial"/>
                <w:bCs/>
                <w:color w:val="000000"/>
                <w:sz w:val="17"/>
                <w:szCs w:val="17"/>
              </w:rPr>
              <w:t>%</w:t>
            </w:r>
          </w:p>
        </w:tc>
      </w:tr>
      <w:tr w:rsidR="00E81A88"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E81A88" w:rsidRPr="00F50E22" w:rsidRDefault="00E81A88" w:rsidP="00F50E22">
            <w:pPr>
              <w:rPr>
                <w:rFonts w:ascii="Arial" w:hAnsi="Arial" w:cs="Arial"/>
                <w:sz w:val="17"/>
                <w:szCs w:val="17"/>
              </w:rPr>
            </w:pPr>
            <w:r w:rsidRPr="00E81A88">
              <w:rPr>
                <w:rFonts w:ascii="Arial" w:hAnsi="Arial" w:cs="Arial"/>
                <w:sz w:val="17"/>
                <w:szCs w:val="17"/>
              </w:rPr>
              <w:t>Remuneraciones Adicionales y Especiales</w:t>
            </w:r>
          </w:p>
        </w:tc>
        <w:tc>
          <w:tcPr>
            <w:tcW w:w="2180" w:type="dxa"/>
            <w:tcBorders>
              <w:top w:val="single" w:sz="4" w:space="0" w:color="auto"/>
              <w:left w:val="nil"/>
              <w:bottom w:val="single" w:sz="4" w:space="0" w:color="auto"/>
              <w:right w:val="single" w:sz="4" w:space="0" w:color="auto"/>
            </w:tcBorders>
            <w:shd w:val="clear" w:color="auto" w:fill="auto"/>
          </w:tcPr>
          <w:p w:rsidR="00E81A88" w:rsidRDefault="00E81A88" w:rsidP="00F50E22">
            <w:pPr>
              <w:jc w:val="right"/>
              <w:rPr>
                <w:rFonts w:ascii="Arial" w:hAnsi="Arial" w:cs="Arial"/>
                <w:bCs/>
                <w:color w:val="000000"/>
                <w:sz w:val="17"/>
                <w:szCs w:val="17"/>
              </w:rPr>
            </w:pPr>
            <w:r w:rsidRPr="00E81A88">
              <w:rPr>
                <w:rFonts w:ascii="Arial" w:hAnsi="Arial" w:cs="Arial"/>
                <w:bCs/>
                <w:color w:val="000000"/>
                <w:sz w:val="17"/>
                <w:szCs w:val="17"/>
              </w:rPr>
              <w:t>178,296,187</w:t>
            </w:r>
          </w:p>
        </w:tc>
        <w:tc>
          <w:tcPr>
            <w:tcW w:w="2180" w:type="dxa"/>
            <w:tcBorders>
              <w:top w:val="single" w:sz="4" w:space="0" w:color="auto"/>
              <w:left w:val="nil"/>
              <w:bottom w:val="single" w:sz="4" w:space="0" w:color="auto"/>
              <w:right w:val="single" w:sz="4" w:space="0" w:color="auto"/>
            </w:tcBorders>
            <w:shd w:val="clear" w:color="auto" w:fill="auto"/>
          </w:tcPr>
          <w:p w:rsidR="00E81A88" w:rsidRPr="00D561B4" w:rsidRDefault="00E81A88" w:rsidP="00F50E22">
            <w:pPr>
              <w:jc w:val="right"/>
              <w:rPr>
                <w:rFonts w:ascii="Arial" w:hAnsi="Arial" w:cs="Arial"/>
                <w:bCs/>
                <w:color w:val="000000"/>
                <w:sz w:val="17"/>
                <w:szCs w:val="17"/>
              </w:rPr>
            </w:pPr>
            <w:r>
              <w:rPr>
                <w:rFonts w:ascii="Arial" w:hAnsi="Arial" w:cs="Arial"/>
                <w:bCs/>
                <w:color w:val="000000"/>
                <w:sz w:val="17"/>
                <w:szCs w:val="17"/>
              </w:rPr>
              <w:t>13.73%</w:t>
            </w:r>
          </w:p>
        </w:tc>
      </w:tr>
      <w:tr w:rsidR="00E81A88" w:rsidRPr="002D70DA" w:rsidTr="00D54B2B">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tcPr>
          <w:p w:rsidR="00E81A88" w:rsidRPr="00F50E22" w:rsidRDefault="00E81A88" w:rsidP="00F50E22">
            <w:pPr>
              <w:rPr>
                <w:rFonts w:ascii="Arial" w:hAnsi="Arial" w:cs="Arial"/>
                <w:sz w:val="17"/>
                <w:szCs w:val="17"/>
              </w:rPr>
            </w:pPr>
            <w:r w:rsidRPr="00E81A88">
              <w:rPr>
                <w:rFonts w:ascii="Arial" w:hAnsi="Arial" w:cs="Arial"/>
                <w:sz w:val="17"/>
                <w:szCs w:val="17"/>
              </w:rPr>
              <w:t>Otras Prestaciones Sociales y Económicas</w:t>
            </w:r>
          </w:p>
        </w:tc>
        <w:tc>
          <w:tcPr>
            <w:tcW w:w="2180" w:type="dxa"/>
            <w:tcBorders>
              <w:top w:val="single" w:sz="4" w:space="0" w:color="auto"/>
              <w:left w:val="nil"/>
              <w:bottom w:val="single" w:sz="4" w:space="0" w:color="auto"/>
              <w:right w:val="single" w:sz="4" w:space="0" w:color="auto"/>
            </w:tcBorders>
            <w:shd w:val="clear" w:color="auto" w:fill="auto"/>
          </w:tcPr>
          <w:p w:rsidR="00E81A88" w:rsidRDefault="00E81A88" w:rsidP="00F50E22">
            <w:pPr>
              <w:jc w:val="right"/>
              <w:rPr>
                <w:rFonts w:ascii="Arial" w:hAnsi="Arial" w:cs="Arial"/>
                <w:bCs/>
                <w:color w:val="000000"/>
                <w:sz w:val="17"/>
                <w:szCs w:val="17"/>
              </w:rPr>
            </w:pPr>
            <w:r w:rsidRPr="00E81A88">
              <w:rPr>
                <w:rFonts w:ascii="Arial" w:hAnsi="Arial" w:cs="Arial"/>
                <w:bCs/>
                <w:color w:val="000000"/>
                <w:sz w:val="17"/>
                <w:szCs w:val="17"/>
              </w:rPr>
              <w:t>174,073,475</w:t>
            </w:r>
          </w:p>
        </w:tc>
        <w:tc>
          <w:tcPr>
            <w:tcW w:w="2180" w:type="dxa"/>
            <w:tcBorders>
              <w:top w:val="single" w:sz="4" w:space="0" w:color="auto"/>
              <w:left w:val="nil"/>
              <w:bottom w:val="single" w:sz="4" w:space="0" w:color="auto"/>
              <w:right w:val="single" w:sz="4" w:space="0" w:color="auto"/>
            </w:tcBorders>
            <w:shd w:val="clear" w:color="auto" w:fill="auto"/>
          </w:tcPr>
          <w:p w:rsidR="00E81A88" w:rsidRPr="00D561B4" w:rsidRDefault="00E81A88" w:rsidP="00F50E22">
            <w:pPr>
              <w:jc w:val="right"/>
              <w:rPr>
                <w:rFonts w:ascii="Arial" w:hAnsi="Arial" w:cs="Arial"/>
                <w:bCs/>
                <w:color w:val="000000"/>
                <w:sz w:val="17"/>
                <w:szCs w:val="17"/>
              </w:rPr>
            </w:pPr>
            <w:r>
              <w:rPr>
                <w:rFonts w:ascii="Arial" w:hAnsi="Arial" w:cs="Arial"/>
                <w:bCs/>
                <w:color w:val="000000"/>
                <w:sz w:val="17"/>
                <w:szCs w:val="17"/>
              </w:rPr>
              <w:t>13.40%</w:t>
            </w:r>
          </w:p>
        </w:tc>
      </w:tr>
    </w:tbl>
    <w:p w:rsidR="00534381" w:rsidRDefault="00534381" w:rsidP="00534381">
      <w:pPr>
        <w:spacing w:before="80" w:line="250" w:lineRule="exact"/>
        <w:jc w:val="both"/>
        <w:rPr>
          <w:rFonts w:ascii="Arial" w:eastAsia="Calibri" w:hAnsi="Arial" w:cs="Arial"/>
          <w:b/>
          <w:spacing w:val="-1"/>
          <w:sz w:val="17"/>
          <w:szCs w:val="17"/>
        </w:rPr>
      </w:pPr>
    </w:p>
    <w:p w:rsidR="00FE2D83" w:rsidRDefault="00FE2D83">
      <w:pPr>
        <w:rPr>
          <w:rFonts w:ascii="Arial" w:eastAsia="Calibri" w:hAnsi="Arial" w:cs="Arial"/>
          <w:b/>
          <w:spacing w:val="-1"/>
          <w:sz w:val="17"/>
          <w:szCs w:val="17"/>
        </w:rPr>
      </w:pPr>
      <w:r>
        <w:rPr>
          <w:rFonts w:ascii="Arial" w:eastAsia="Calibri" w:hAnsi="Arial" w:cs="Arial"/>
          <w:b/>
          <w:spacing w:val="-1"/>
          <w:sz w:val="17"/>
          <w:szCs w:val="17"/>
        </w:rPr>
        <w:br w:type="page"/>
      </w:r>
    </w:p>
    <w:p w:rsidR="00BC0DE0" w:rsidRPr="009A7FA3" w:rsidRDefault="00BC0DE0"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9A7FA3">
        <w:rPr>
          <w:rFonts w:ascii="Arial" w:hAnsi="Arial" w:cs="Arial"/>
          <w:b/>
          <w:sz w:val="17"/>
          <w:szCs w:val="17"/>
        </w:rPr>
        <w:lastRenderedPageBreak/>
        <w:t xml:space="preserve">Notas al Estado de </w:t>
      </w:r>
      <w:r w:rsidR="00D0525E" w:rsidRPr="009A7FA3">
        <w:rPr>
          <w:rFonts w:ascii="Arial" w:hAnsi="Arial" w:cs="Arial"/>
          <w:b/>
          <w:sz w:val="17"/>
          <w:szCs w:val="17"/>
        </w:rPr>
        <w:t>Variación en la Hacienda Pública</w:t>
      </w:r>
    </w:p>
    <w:p w:rsidR="00D0525E" w:rsidRPr="002D70DA" w:rsidRDefault="00D0525E" w:rsidP="00791E59">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acerca de las modificaciones a</w:t>
      </w:r>
      <w:r w:rsidR="003977E2">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3977E2">
        <w:rPr>
          <w:rFonts w:ascii="Arial" w:eastAsia="Calibri" w:hAnsi="Arial" w:cs="Arial"/>
          <w:spacing w:val="-1"/>
          <w:sz w:val="17"/>
          <w:szCs w:val="17"/>
        </w:rPr>
        <w:t>a Hacienda Pública</w:t>
      </w:r>
      <w:r w:rsidRPr="002D70DA">
        <w:rPr>
          <w:rFonts w:ascii="Arial" w:eastAsia="Calibri" w:hAnsi="Arial" w:cs="Arial"/>
          <w:spacing w:val="-1"/>
          <w:sz w:val="17"/>
          <w:szCs w:val="17"/>
        </w:rPr>
        <w:t xml:space="preserve"> contribuid</w:t>
      </w:r>
      <w:r w:rsidR="003977E2">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9B3D4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B3D46" w:rsidRPr="002D70DA" w:rsidRDefault="009B3D46">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603D16" w:rsidRPr="002D70DA" w:rsidTr="006D1FC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3D16" w:rsidRPr="002D70DA" w:rsidRDefault="009A7FA3" w:rsidP="00603D16">
            <w:pPr>
              <w:rPr>
                <w:rFonts w:ascii="Arial" w:hAnsi="Arial" w:cs="Arial"/>
                <w:b/>
                <w:bCs/>
                <w:color w:val="000000"/>
                <w:sz w:val="17"/>
                <w:szCs w:val="17"/>
              </w:rPr>
            </w:pPr>
            <w:r>
              <w:rPr>
                <w:rFonts w:ascii="Arial" w:hAnsi="Arial" w:cs="Arial"/>
                <w:b/>
                <w:bCs/>
                <w:color w:val="000000"/>
                <w:sz w:val="17"/>
                <w:szCs w:val="17"/>
              </w:rPr>
              <w:t>Aportaciones</w:t>
            </w:r>
          </w:p>
        </w:tc>
        <w:tc>
          <w:tcPr>
            <w:tcW w:w="2180" w:type="dxa"/>
            <w:tcBorders>
              <w:top w:val="single" w:sz="4" w:space="0" w:color="auto"/>
              <w:left w:val="nil"/>
              <w:bottom w:val="single" w:sz="4" w:space="0" w:color="auto"/>
              <w:right w:val="single" w:sz="4" w:space="0" w:color="auto"/>
            </w:tcBorders>
            <w:shd w:val="clear" w:color="auto" w:fill="auto"/>
            <w:hideMark/>
          </w:tcPr>
          <w:p w:rsidR="00603D16" w:rsidRPr="00FB07DB" w:rsidRDefault="0091188F" w:rsidP="00603D16">
            <w:pPr>
              <w:jc w:val="right"/>
              <w:rPr>
                <w:rFonts w:ascii="Arial" w:hAnsi="Arial" w:cs="Arial"/>
                <w:b/>
                <w:sz w:val="17"/>
                <w:szCs w:val="17"/>
              </w:rPr>
            </w:pPr>
            <w:r w:rsidRPr="0091188F">
              <w:rPr>
                <w:rFonts w:ascii="Arial" w:hAnsi="Arial" w:cs="Arial"/>
                <w:b/>
                <w:sz w:val="17"/>
                <w:szCs w:val="17"/>
              </w:rPr>
              <w:t>-1,364,735</w:t>
            </w:r>
          </w:p>
        </w:tc>
      </w:tr>
    </w:tbl>
    <w:p w:rsidR="00791E59" w:rsidRDefault="00791E59">
      <w:pPr>
        <w:rPr>
          <w:rFonts w:ascii="Arial" w:eastAsia="Calibri" w:hAnsi="Arial" w:cs="Arial"/>
          <w:spacing w:val="-1"/>
          <w:sz w:val="17"/>
          <w:szCs w:val="17"/>
        </w:rPr>
      </w:pPr>
    </w:p>
    <w:p w:rsidR="00835157" w:rsidRDefault="00835157">
      <w:pPr>
        <w:rPr>
          <w:rFonts w:ascii="Arial" w:eastAsia="Calibri" w:hAnsi="Arial" w:cs="Arial"/>
          <w:spacing w:val="-1"/>
          <w:sz w:val="17"/>
          <w:szCs w:val="17"/>
        </w:rPr>
      </w:pPr>
    </w:p>
    <w:p w:rsidR="005151EC" w:rsidRDefault="009A7FA3" w:rsidP="00C462F7">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Resultado de Aportaciones registradas por </w:t>
      </w:r>
      <w:r w:rsidR="006D1FCA">
        <w:rPr>
          <w:rFonts w:ascii="Arial" w:eastAsia="Calibri" w:hAnsi="Arial" w:cs="Arial"/>
          <w:spacing w:val="-1"/>
          <w:sz w:val="17"/>
          <w:szCs w:val="17"/>
        </w:rPr>
        <w:t xml:space="preserve">el </w:t>
      </w:r>
      <w:r w:rsidR="0091188F" w:rsidRPr="0091188F">
        <w:rPr>
          <w:rFonts w:ascii="Arial" w:eastAsia="Calibri" w:hAnsi="Arial" w:cs="Arial"/>
          <w:spacing w:val="-1"/>
          <w:sz w:val="17"/>
          <w:szCs w:val="17"/>
        </w:rPr>
        <w:t>Instituto Electoral del Estado de Querétaro</w:t>
      </w:r>
      <w:r w:rsidR="006D1FCA">
        <w:rPr>
          <w:rFonts w:ascii="Arial" w:eastAsia="Calibri" w:hAnsi="Arial" w:cs="Arial"/>
          <w:spacing w:val="-1"/>
          <w:sz w:val="17"/>
          <w:szCs w:val="17"/>
        </w:rPr>
        <w:t>.</w:t>
      </w:r>
    </w:p>
    <w:p w:rsidR="005151EC" w:rsidRDefault="005151EC" w:rsidP="00C462F7">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así como la procedencia de los recursos que modifican a</w:t>
      </w:r>
      <w:r w:rsidR="008C493D">
        <w:rPr>
          <w:rFonts w:ascii="Arial" w:eastAsia="Calibri" w:hAnsi="Arial" w:cs="Arial"/>
          <w:spacing w:val="-1"/>
          <w:sz w:val="17"/>
          <w:szCs w:val="17"/>
        </w:rPr>
        <w:t xml:space="preserve"> </w:t>
      </w:r>
      <w:r w:rsidRPr="002D70DA">
        <w:rPr>
          <w:rFonts w:ascii="Arial" w:eastAsia="Calibri" w:hAnsi="Arial" w:cs="Arial"/>
          <w:spacing w:val="-1"/>
          <w:sz w:val="17"/>
          <w:szCs w:val="17"/>
        </w:rPr>
        <w:t>l</w:t>
      </w:r>
      <w:r w:rsidR="008C493D">
        <w:rPr>
          <w:rFonts w:ascii="Arial" w:eastAsia="Calibri" w:hAnsi="Arial" w:cs="Arial"/>
          <w:spacing w:val="-1"/>
          <w:sz w:val="17"/>
          <w:szCs w:val="17"/>
        </w:rPr>
        <w:t>a</w:t>
      </w:r>
      <w:r w:rsidRPr="002D70DA">
        <w:rPr>
          <w:rFonts w:ascii="Arial" w:eastAsia="Calibri" w:hAnsi="Arial" w:cs="Arial"/>
          <w:spacing w:val="-1"/>
          <w:sz w:val="17"/>
          <w:szCs w:val="17"/>
        </w:rPr>
        <w:t xml:space="preserve"> </w:t>
      </w:r>
      <w:r w:rsidR="008C493D">
        <w:rPr>
          <w:rFonts w:ascii="Arial" w:eastAsia="Calibri" w:hAnsi="Arial" w:cs="Arial"/>
          <w:spacing w:val="-1"/>
          <w:sz w:val="17"/>
          <w:szCs w:val="17"/>
        </w:rPr>
        <w:t>Hacienda Pública generada</w:t>
      </w:r>
      <w:r w:rsidRPr="002D70DA">
        <w:rPr>
          <w:rFonts w:ascii="Arial" w:eastAsia="Calibri" w:hAnsi="Arial" w:cs="Arial"/>
          <w:spacing w:val="-1"/>
          <w:sz w:val="17"/>
          <w:szCs w:val="17"/>
        </w:rPr>
        <w:t>:</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6173" w:type="dxa"/>
        <w:jc w:val="center"/>
        <w:tblCellMar>
          <w:left w:w="70" w:type="dxa"/>
          <w:right w:w="70" w:type="dxa"/>
        </w:tblCellMar>
        <w:tblLook w:val="04A0" w:firstRow="1" w:lastRow="0" w:firstColumn="1" w:lastColumn="0" w:noHBand="0" w:noVBand="1"/>
      </w:tblPr>
      <w:tblGrid>
        <w:gridCol w:w="3086"/>
        <w:gridCol w:w="3087"/>
      </w:tblGrid>
      <w:tr w:rsidR="00251646" w:rsidRPr="002D70DA" w:rsidTr="00A25F9E">
        <w:trPr>
          <w:trHeight w:val="229"/>
          <w:jc w:val="center"/>
        </w:trPr>
        <w:tc>
          <w:tcPr>
            <w:tcW w:w="30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30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251646" w:rsidRPr="002D70DA" w:rsidRDefault="00791E59">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8B2E49" w:rsidRPr="002D70DA" w:rsidTr="00791E59">
        <w:trPr>
          <w:trHeight w:val="13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91188F" w:rsidP="008B2E49">
            <w:pPr>
              <w:jc w:val="right"/>
              <w:rPr>
                <w:rFonts w:ascii="Arial" w:hAnsi="Arial" w:cs="Arial"/>
                <w:b/>
                <w:sz w:val="17"/>
                <w:szCs w:val="17"/>
              </w:rPr>
            </w:pPr>
            <w:r w:rsidRPr="0091188F">
              <w:rPr>
                <w:rFonts w:ascii="Arial" w:hAnsi="Arial" w:cs="Arial"/>
                <w:b/>
                <w:sz w:val="17"/>
                <w:szCs w:val="17"/>
              </w:rPr>
              <w:t>23,365,718</w:t>
            </w:r>
          </w:p>
        </w:tc>
      </w:tr>
      <w:tr w:rsidR="008B2E49" w:rsidRPr="002D70DA" w:rsidTr="00791E59">
        <w:trPr>
          <w:trHeight w:val="79"/>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791E59">
        <w:trPr>
          <w:trHeight w:val="1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91188F" w:rsidP="008B2E49">
            <w:pPr>
              <w:jc w:val="right"/>
              <w:rPr>
                <w:rFonts w:ascii="Arial" w:hAnsi="Arial" w:cs="Arial"/>
                <w:b/>
                <w:sz w:val="17"/>
                <w:szCs w:val="17"/>
              </w:rPr>
            </w:pPr>
            <w:r w:rsidRPr="0091188F">
              <w:rPr>
                <w:rFonts w:ascii="Arial" w:hAnsi="Arial" w:cs="Arial"/>
                <w:b/>
                <w:sz w:val="17"/>
                <w:szCs w:val="17"/>
              </w:rPr>
              <w:t>-120,359</w:t>
            </w:r>
          </w:p>
        </w:tc>
      </w:tr>
      <w:tr w:rsidR="008B2E49" w:rsidRPr="002D70DA" w:rsidTr="00791E59">
        <w:trPr>
          <w:trHeight w:val="5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b/>
                <w:bCs/>
                <w:color w:val="000000"/>
                <w:sz w:val="17"/>
                <w:szCs w:val="17"/>
              </w:rPr>
            </w:pPr>
            <w:r w:rsidRPr="002D70DA">
              <w:rPr>
                <w:rFonts w:ascii="Arial" w:hAnsi="Arial" w:cs="Arial"/>
                <w:b/>
                <w:bCs/>
                <w:color w:val="000000"/>
                <w:sz w:val="17"/>
                <w:szCs w:val="17"/>
              </w:rPr>
              <w:t> </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8B2E49" w:rsidP="008B2E49">
            <w:pPr>
              <w:jc w:val="right"/>
              <w:rPr>
                <w:rFonts w:ascii="Arial" w:hAnsi="Arial" w:cs="Arial"/>
                <w:sz w:val="17"/>
                <w:szCs w:val="17"/>
              </w:rPr>
            </w:pPr>
          </w:p>
        </w:tc>
      </w:tr>
      <w:tr w:rsidR="008B2E49" w:rsidRPr="002D70DA" w:rsidTr="00CC7032">
        <w:trPr>
          <w:trHeight w:val="240"/>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proofErr w:type="spellStart"/>
            <w:r w:rsidRPr="002D70DA">
              <w:rPr>
                <w:rFonts w:ascii="Arial" w:hAnsi="Arial" w:cs="Arial"/>
                <w:b/>
                <w:bCs/>
                <w:color w:val="000000"/>
                <w:sz w:val="17"/>
                <w:szCs w:val="17"/>
              </w:rPr>
              <w:t>Revalúos</w:t>
            </w:r>
            <w:proofErr w:type="spellEnd"/>
          </w:p>
        </w:tc>
        <w:tc>
          <w:tcPr>
            <w:tcW w:w="3087" w:type="dxa"/>
            <w:tcBorders>
              <w:top w:val="nil"/>
              <w:left w:val="nil"/>
              <w:bottom w:val="single" w:sz="4" w:space="0" w:color="auto"/>
              <w:right w:val="single" w:sz="4" w:space="0" w:color="auto"/>
            </w:tcBorders>
            <w:shd w:val="clear" w:color="auto" w:fill="auto"/>
            <w:hideMark/>
          </w:tcPr>
          <w:p w:rsidR="008B2E49" w:rsidRPr="008B2E49" w:rsidRDefault="0091188F" w:rsidP="008B2E49">
            <w:pPr>
              <w:jc w:val="right"/>
              <w:rPr>
                <w:rFonts w:ascii="Arial" w:hAnsi="Arial" w:cs="Arial"/>
                <w:b/>
                <w:sz w:val="17"/>
                <w:szCs w:val="17"/>
              </w:rPr>
            </w:pPr>
            <w:r w:rsidRPr="0091188F">
              <w:rPr>
                <w:rFonts w:ascii="Arial" w:hAnsi="Arial" w:cs="Arial"/>
                <w:b/>
                <w:sz w:val="17"/>
                <w:szCs w:val="17"/>
              </w:rPr>
              <w:t>10,808,575</w:t>
            </w:r>
          </w:p>
        </w:tc>
      </w:tr>
      <w:tr w:rsidR="008B2E49" w:rsidRPr="002D70DA" w:rsidTr="00791E59">
        <w:trPr>
          <w:trHeight w:val="107"/>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8B2E49" w:rsidP="008B2E49">
            <w:pPr>
              <w:rPr>
                <w:rFonts w:ascii="Arial" w:hAnsi="Arial" w:cs="Arial"/>
                <w:color w:val="000000"/>
                <w:sz w:val="17"/>
                <w:szCs w:val="17"/>
              </w:rPr>
            </w:pPr>
            <w:r w:rsidRPr="002D70DA">
              <w:rPr>
                <w:rFonts w:ascii="Arial" w:hAnsi="Arial" w:cs="Arial"/>
                <w:color w:val="000000"/>
                <w:sz w:val="17"/>
                <w:szCs w:val="17"/>
              </w:rPr>
              <w:t> </w:t>
            </w:r>
          </w:p>
        </w:tc>
        <w:tc>
          <w:tcPr>
            <w:tcW w:w="3087" w:type="dxa"/>
            <w:tcBorders>
              <w:top w:val="nil"/>
              <w:left w:val="nil"/>
              <w:bottom w:val="single" w:sz="4" w:space="0" w:color="auto"/>
              <w:right w:val="single" w:sz="4" w:space="0" w:color="auto"/>
            </w:tcBorders>
            <w:shd w:val="clear" w:color="000000" w:fill="FFFFFF"/>
            <w:hideMark/>
          </w:tcPr>
          <w:p w:rsidR="008B2E49" w:rsidRPr="008B2E49" w:rsidRDefault="008B2E49" w:rsidP="008B2E49">
            <w:pPr>
              <w:jc w:val="right"/>
              <w:rPr>
                <w:rFonts w:ascii="Arial" w:hAnsi="Arial" w:cs="Arial"/>
                <w:sz w:val="17"/>
                <w:szCs w:val="17"/>
              </w:rPr>
            </w:pPr>
          </w:p>
        </w:tc>
      </w:tr>
      <w:tr w:rsidR="008B2E49" w:rsidRPr="002D70DA" w:rsidTr="00791E59">
        <w:trPr>
          <w:trHeight w:val="323"/>
          <w:jc w:val="center"/>
        </w:trPr>
        <w:tc>
          <w:tcPr>
            <w:tcW w:w="3086" w:type="dxa"/>
            <w:tcBorders>
              <w:top w:val="nil"/>
              <w:left w:val="single" w:sz="4" w:space="0" w:color="auto"/>
              <w:bottom w:val="single" w:sz="4" w:space="0" w:color="auto"/>
              <w:right w:val="single" w:sz="4" w:space="0" w:color="auto"/>
            </w:tcBorders>
            <w:shd w:val="clear" w:color="000000" w:fill="FFFFFF"/>
            <w:vAlign w:val="center"/>
            <w:hideMark/>
          </w:tcPr>
          <w:p w:rsidR="008B2E49" w:rsidRPr="002D70DA" w:rsidRDefault="00791E59" w:rsidP="008B2E49">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3087" w:type="dxa"/>
            <w:tcBorders>
              <w:top w:val="nil"/>
              <w:left w:val="nil"/>
              <w:bottom w:val="single" w:sz="4" w:space="0" w:color="auto"/>
              <w:right w:val="single" w:sz="4" w:space="0" w:color="auto"/>
            </w:tcBorders>
            <w:shd w:val="clear" w:color="auto" w:fill="auto"/>
            <w:hideMark/>
          </w:tcPr>
          <w:p w:rsidR="008B2E49" w:rsidRPr="008B2E49" w:rsidRDefault="0091188F" w:rsidP="00FC36E3">
            <w:pPr>
              <w:jc w:val="right"/>
              <w:rPr>
                <w:rFonts w:ascii="Arial" w:hAnsi="Arial" w:cs="Arial"/>
                <w:b/>
                <w:sz w:val="17"/>
                <w:szCs w:val="17"/>
              </w:rPr>
            </w:pPr>
            <w:r w:rsidRPr="0091188F">
              <w:rPr>
                <w:rFonts w:ascii="Arial" w:hAnsi="Arial" w:cs="Arial"/>
                <w:b/>
                <w:sz w:val="17"/>
                <w:szCs w:val="17"/>
              </w:rPr>
              <w:t>10,943,997</w:t>
            </w:r>
          </w:p>
        </w:tc>
      </w:tr>
    </w:tbl>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rsidP="00730BB8">
      <w:pPr>
        <w:spacing w:before="80" w:line="250" w:lineRule="exact"/>
        <w:ind w:left="709"/>
        <w:jc w:val="both"/>
        <w:rPr>
          <w:rFonts w:ascii="Arial" w:eastAsia="Calibri" w:hAnsi="Arial" w:cs="Arial"/>
          <w:spacing w:val="-1"/>
          <w:sz w:val="17"/>
          <w:szCs w:val="17"/>
        </w:rPr>
      </w:pPr>
      <w:proofErr w:type="spellStart"/>
      <w:r w:rsidRPr="00730BB8">
        <w:rPr>
          <w:rFonts w:ascii="Arial" w:eastAsia="Calibri" w:hAnsi="Arial" w:cs="Arial"/>
          <w:spacing w:val="-1"/>
          <w:sz w:val="17"/>
          <w:szCs w:val="17"/>
        </w:rPr>
        <w:t>Revalúos</w:t>
      </w:r>
      <w:proofErr w:type="spellEnd"/>
      <w:r w:rsidR="0091188F">
        <w:rPr>
          <w:rFonts w:ascii="Arial" w:eastAsia="Calibri" w:hAnsi="Arial" w:cs="Arial"/>
          <w:spacing w:val="-1"/>
          <w:sz w:val="17"/>
          <w:szCs w:val="17"/>
        </w:rPr>
        <w:t xml:space="preserve"> registrados por </w:t>
      </w:r>
      <w:r>
        <w:rPr>
          <w:rFonts w:ascii="Arial" w:eastAsia="Calibri" w:hAnsi="Arial" w:cs="Arial"/>
          <w:spacing w:val="-1"/>
          <w:sz w:val="17"/>
          <w:szCs w:val="17"/>
        </w:rPr>
        <w:t>l</w:t>
      </w:r>
      <w:r w:rsidR="0091188F">
        <w:rPr>
          <w:rFonts w:ascii="Arial" w:eastAsia="Calibri" w:hAnsi="Arial" w:cs="Arial"/>
          <w:spacing w:val="-1"/>
          <w:sz w:val="17"/>
          <w:szCs w:val="17"/>
        </w:rPr>
        <w:t>a</w:t>
      </w:r>
      <w:r>
        <w:rPr>
          <w:rFonts w:ascii="Arial" w:eastAsia="Calibri" w:hAnsi="Arial" w:cs="Arial"/>
          <w:spacing w:val="-1"/>
          <w:sz w:val="17"/>
          <w:szCs w:val="17"/>
        </w:rPr>
        <w:t xml:space="preserve"> </w:t>
      </w:r>
      <w:r w:rsidR="0091188F" w:rsidRPr="0091188F">
        <w:rPr>
          <w:rFonts w:ascii="Arial" w:eastAsia="Calibri" w:hAnsi="Arial" w:cs="Arial"/>
          <w:spacing w:val="-1"/>
          <w:sz w:val="17"/>
          <w:szCs w:val="17"/>
        </w:rPr>
        <w:t>Comisión de Transparencia y Acceso a la Información Pública del Estado</w:t>
      </w:r>
      <w:r>
        <w:rPr>
          <w:rFonts w:ascii="Arial" w:eastAsia="Calibri" w:hAnsi="Arial" w:cs="Arial"/>
          <w:spacing w:val="-1"/>
          <w:sz w:val="17"/>
          <w:szCs w:val="17"/>
        </w:rPr>
        <w:t xml:space="preserve"> por un importe de </w:t>
      </w:r>
      <w:r w:rsidR="0091188F" w:rsidRPr="0091188F">
        <w:rPr>
          <w:rFonts w:ascii="Arial" w:eastAsia="Calibri" w:hAnsi="Arial" w:cs="Arial"/>
          <w:spacing w:val="-1"/>
          <w:sz w:val="17"/>
          <w:szCs w:val="17"/>
        </w:rPr>
        <w:t>37,004</w:t>
      </w:r>
      <w:r>
        <w:rPr>
          <w:rFonts w:ascii="Arial" w:eastAsia="Calibri" w:hAnsi="Arial" w:cs="Arial"/>
          <w:spacing w:val="-1"/>
          <w:sz w:val="17"/>
          <w:szCs w:val="17"/>
        </w:rPr>
        <w:t xml:space="preserve">, </w:t>
      </w:r>
      <w:r w:rsidR="0091188F">
        <w:rPr>
          <w:rFonts w:ascii="Arial" w:eastAsia="Calibri" w:hAnsi="Arial" w:cs="Arial"/>
          <w:spacing w:val="-1"/>
          <w:sz w:val="17"/>
          <w:szCs w:val="17"/>
        </w:rPr>
        <w:t xml:space="preserve">y </w:t>
      </w:r>
      <w:r>
        <w:rPr>
          <w:rFonts w:ascii="Arial" w:eastAsia="Calibri" w:hAnsi="Arial" w:cs="Arial"/>
          <w:spacing w:val="-1"/>
          <w:sz w:val="17"/>
          <w:szCs w:val="17"/>
        </w:rPr>
        <w:t xml:space="preserve">por </w:t>
      </w:r>
      <w:r w:rsidR="0091188F">
        <w:rPr>
          <w:rFonts w:ascii="Arial" w:eastAsia="Calibri" w:hAnsi="Arial" w:cs="Arial"/>
          <w:spacing w:val="-1"/>
          <w:sz w:val="17"/>
          <w:szCs w:val="17"/>
        </w:rPr>
        <w:t>e</w:t>
      </w:r>
      <w:r>
        <w:rPr>
          <w:rFonts w:ascii="Arial" w:eastAsia="Calibri" w:hAnsi="Arial" w:cs="Arial"/>
          <w:spacing w:val="-1"/>
          <w:sz w:val="17"/>
          <w:szCs w:val="17"/>
        </w:rPr>
        <w:t xml:space="preserve">l </w:t>
      </w:r>
      <w:r w:rsidR="0091188F" w:rsidRPr="0091188F">
        <w:rPr>
          <w:rFonts w:ascii="Arial" w:eastAsia="Calibri" w:hAnsi="Arial" w:cs="Arial"/>
          <w:spacing w:val="-1"/>
          <w:sz w:val="17"/>
          <w:szCs w:val="17"/>
        </w:rPr>
        <w:t>Instituto Electoral del Estado</w:t>
      </w:r>
      <w:r w:rsidR="00186BCA">
        <w:rPr>
          <w:rFonts w:ascii="Arial" w:eastAsia="Calibri" w:hAnsi="Arial" w:cs="Arial"/>
          <w:spacing w:val="-1"/>
          <w:sz w:val="17"/>
          <w:szCs w:val="17"/>
        </w:rPr>
        <w:t xml:space="preserve"> </w:t>
      </w:r>
      <w:r>
        <w:rPr>
          <w:rFonts w:ascii="Arial" w:eastAsia="Calibri" w:hAnsi="Arial" w:cs="Arial"/>
          <w:spacing w:val="-1"/>
          <w:sz w:val="17"/>
          <w:szCs w:val="17"/>
        </w:rPr>
        <w:t xml:space="preserve">por un importe de </w:t>
      </w:r>
      <w:r w:rsidR="0091188F" w:rsidRPr="0091188F">
        <w:rPr>
          <w:rFonts w:ascii="Arial" w:eastAsia="Calibri" w:hAnsi="Arial" w:cs="Arial"/>
          <w:spacing w:val="-1"/>
          <w:sz w:val="17"/>
          <w:szCs w:val="17"/>
        </w:rPr>
        <w:t>10</w:t>
      </w:r>
      <w:proofErr w:type="gramStart"/>
      <w:r w:rsidR="0091188F" w:rsidRPr="0091188F">
        <w:rPr>
          <w:rFonts w:ascii="Arial" w:eastAsia="Calibri" w:hAnsi="Arial" w:cs="Arial"/>
          <w:spacing w:val="-1"/>
          <w:sz w:val="17"/>
          <w:szCs w:val="17"/>
        </w:rPr>
        <w:t>,771,571</w:t>
      </w:r>
      <w:proofErr w:type="gramEnd"/>
    </w:p>
    <w:p w:rsidR="00730BB8" w:rsidRDefault="00730BB8" w:rsidP="00730BB8">
      <w:pPr>
        <w:spacing w:before="80" w:line="250" w:lineRule="exact"/>
        <w:ind w:left="709"/>
        <w:jc w:val="both"/>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730BB8" w:rsidRDefault="00730BB8">
      <w:pPr>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517326" w:rsidRDefault="00F97BAC" w:rsidP="00795E45">
      <w:pPr>
        <w:pStyle w:val="Prrafodelista"/>
        <w:numPr>
          <w:ilvl w:val="0"/>
          <w:numId w:val="10"/>
        </w:numPr>
        <w:autoSpaceDE w:val="0"/>
        <w:autoSpaceDN w:val="0"/>
        <w:adjustRightInd w:val="0"/>
        <w:spacing w:before="240" w:after="120"/>
        <w:jc w:val="both"/>
        <w:rPr>
          <w:rFonts w:ascii="Arial" w:hAnsi="Arial" w:cs="Arial"/>
          <w:b/>
          <w:sz w:val="17"/>
          <w:szCs w:val="17"/>
        </w:rPr>
      </w:pPr>
      <w:r w:rsidRPr="00517326">
        <w:rPr>
          <w:rFonts w:ascii="Arial" w:hAnsi="Arial" w:cs="Arial"/>
          <w:b/>
          <w:sz w:val="17"/>
          <w:szCs w:val="17"/>
        </w:rPr>
        <w:lastRenderedPageBreak/>
        <w:t xml:space="preserve">Notas al Estado de </w:t>
      </w:r>
      <w:r w:rsidR="00E723B7" w:rsidRPr="00517326">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81697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81697F">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E72587"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2019</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72587" w:rsidRPr="002D70DA" w:rsidRDefault="009831D5" w:rsidP="00C91571">
            <w:pPr>
              <w:jc w:val="center"/>
              <w:rPr>
                <w:rFonts w:ascii="Arial" w:hAnsi="Arial" w:cs="Arial"/>
                <w:b/>
                <w:bCs/>
                <w:color w:val="000000"/>
                <w:sz w:val="17"/>
                <w:szCs w:val="17"/>
              </w:rPr>
            </w:pPr>
            <w:r>
              <w:rPr>
                <w:rFonts w:ascii="Arial" w:hAnsi="Arial" w:cs="Arial"/>
                <w:b/>
                <w:bCs/>
                <w:color w:val="000000"/>
                <w:sz w:val="17"/>
                <w:szCs w:val="17"/>
              </w:rPr>
              <w:t>2018</w:t>
            </w:r>
          </w:p>
        </w:tc>
      </w:tr>
      <w:tr w:rsidR="00577D9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7D97" w:rsidRPr="002D70DA" w:rsidRDefault="00577D97" w:rsidP="00577D9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sz w:val="17"/>
                <w:szCs w:val="17"/>
              </w:rPr>
            </w:pPr>
            <w:r w:rsidRPr="00577D97">
              <w:rPr>
                <w:rFonts w:ascii="Arial" w:hAnsi="Arial" w:cs="Arial"/>
                <w:sz w:val="17"/>
                <w:szCs w:val="17"/>
              </w:rPr>
              <w:t xml:space="preserve">-3,078,137 </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sz w:val="17"/>
                <w:szCs w:val="17"/>
              </w:rPr>
            </w:pPr>
            <w:r w:rsidRPr="00577D97">
              <w:rPr>
                <w:rFonts w:ascii="Arial" w:hAnsi="Arial" w:cs="Arial"/>
                <w:sz w:val="17"/>
                <w:szCs w:val="17"/>
              </w:rPr>
              <w:t xml:space="preserve">-2,418,820 </w:t>
            </w:r>
          </w:p>
        </w:tc>
      </w:tr>
      <w:tr w:rsidR="00577D9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7D97" w:rsidRPr="002D70DA" w:rsidRDefault="00577D97" w:rsidP="00577D97">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sz w:val="17"/>
                <w:szCs w:val="17"/>
              </w:rPr>
            </w:pPr>
            <w:r w:rsidRPr="00577D97">
              <w:rPr>
                <w:rFonts w:ascii="Arial" w:hAnsi="Arial" w:cs="Arial"/>
                <w:sz w:val="17"/>
                <w:szCs w:val="17"/>
              </w:rPr>
              <w:t xml:space="preserve"> 53,713,328 </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sz w:val="17"/>
                <w:szCs w:val="17"/>
              </w:rPr>
            </w:pPr>
            <w:r w:rsidRPr="00577D97">
              <w:rPr>
                <w:rFonts w:ascii="Arial" w:hAnsi="Arial" w:cs="Arial"/>
                <w:sz w:val="17"/>
                <w:szCs w:val="17"/>
              </w:rPr>
              <w:t xml:space="preserve"> 25,423,900 </w:t>
            </w:r>
          </w:p>
        </w:tc>
      </w:tr>
      <w:tr w:rsidR="00577D97" w:rsidRPr="002D70DA" w:rsidTr="002342B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7D97" w:rsidRPr="002D70DA" w:rsidRDefault="00577D97" w:rsidP="00577D97">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sz w:val="17"/>
                <w:szCs w:val="17"/>
              </w:rPr>
            </w:pPr>
            <w:r w:rsidRPr="00577D97">
              <w:rPr>
                <w:rFonts w:ascii="Arial" w:hAnsi="Arial" w:cs="Arial"/>
                <w:sz w:val="17"/>
                <w:szCs w:val="17"/>
              </w:rPr>
              <w:t xml:space="preserve"> 8,826,424 </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sz w:val="17"/>
                <w:szCs w:val="17"/>
              </w:rPr>
            </w:pPr>
            <w:r w:rsidRPr="00577D97">
              <w:rPr>
                <w:rFonts w:ascii="Arial" w:hAnsi="Arial" w:cs="Arial"/>
                <w:sz w:val="17"/>
                <w:szCs w:val="17"/>
              </w:rPr>
              <w:t xml:space="preserve"> 8,368,113 </w:t>
            </w:r>
          </w:p>
        </w:tc>
      </w:tr>
      <w:tr w:rsidR="00577D97" w:rsidRPr="002D70DA" w:rsidTr="004C337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7D97" w:rsidRPr="002D70DA" w:rsidRDefault="00577D97" w:rsidP="00577D97">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sz w:val="17"/>
                <w:szCs w:val="17"/>
              </w:rPr>
            </w:pPr>
            <w:r w:rsidRPr="00577D97">
              <w:rPr>
                <w:rFonts w:ascii="Arial" w:hAnsi="Arial" w:cs="Arial"/>
                <w:sz w:val="17"/>
                <w:szCs w:val="17"/>
              </w:rPr>
              <w:t xml:space="preserve"> 46,474,110 </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sz w:val="17"/>
                <w:szCs w:val="17"/>
              </w:rPr>
            </w:pPr>
            <w:r w:rsidRPr="00577D97">
              <w:rPr>
                <w:rFonts w:ascii="Arial" w:hAnsi="Arial" w:cs="Arial"/>
                <w:sz w:val="17"/>
                <w:szCs w:val="17"/>
              </w:rPr>
              <w:t xml:space="preserve"> 43,756,057 </w:t>
            </w:r>
          </w:p>
        </w:tc>
      </w:tr>
      <w:tr w:rsidR="00577D97" w:rsidRPr="002D70DA" w:rsidTr="009831D5">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577D97" w:rsidRPr="002D70DA" w:rsidRDefault="00577D97" w:rsidP="00577D97">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b/>
                <w:sz w:val="17"/>
                <w:szCs w:val="17"/>
              </w:rPr>
            </w:pPr>
            <w:r w:rsidRPr="00577D97">
              <w:rPr>
                <w:rFonts w:ascii="Arial" w:hAnsi="Arial" w:cs="Arial"/>
                <w:b/>
                <w:sz w:val="17"/>
                <w:szCs w:val="17"/>
              </w:rPr>
              <w:t xml:space="preserve"> 105,935,725 </w:t>
            </w:r>
          </w:p>
        </w:tc>
        <w:tc>
          <w:tcPr>
            <w:tcW w:w="2180" w:type="dxa"/>
            <w:tcBorders>
              <w:top w:val="nil"/>
              <w:left w:val="nil"/>
              <w:bottom w:val="single" w:sz="4" w:space="0" w:color="auto"/>
              <w:right w:val="single" w:sz="4" w:space="0" w:color="auto"/>
            </w:tcBorders>
            <w:shd w:val="clear" w:color="000000" w:fill="FFFFFF"/>
          </w:tcPr>
          <w:p w:rsidR="00577D97" w:rsidRPr="00577D97" w:rsidRDefault="00577D97" w:rsidP="00577D97">
            <w:pPr>
              <w:jc w:val="right"/>
              <w:rPr>
                <w:rFonts w:ascii="Arial" w:hAnsi="Arial" w:cs="Arial"/>
                <w:b/>
                <w:sz w:val="17"/>
                <w:szCs w:val="17"/>
              </w:rPr>
            </w:pPr>
            <w:r w:rsidRPr="00577D97">
              <w:rPr>
                <w:rFonts w:ascii="Arial" w:hAnsi="Arial" w:cs="Arial"/>
                <w:b/>
                <w:sz w:val="17"/>
                <w:szCs w:val="17"/>
              </w:rPr>
              <w:t xml:space="preserve"> 75,129,250 </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y, en su caso, el porcentaje de e</w:t>
      </w:r>
      <w:r w:rsidR="00971DBA">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se revela el importe </w:t>
      </w:r>
      <w:r w:rsidR="005D109B">
        <w:rPr>
          <w:rFonts w:ascii="Arial" w:eastAsia="Calibri" w:hAnsi="Arial" w:cs="Arial"/>
          <w:spacing w:val="-1"/>
          <w:sz w:val="17"/>
          <w:szCs w:val="17"/>
        </w:rPr>
        <w:t xml:space="preserve">al </w:t>
      </w:r>
      <w:r w:rsidR="001E5A70">
        <w:rPr>
          <w:rFonts w:ascii="Arial" w:eastAsia="Calibri" w:hAnsi="Arial" w:cs="Arial"/>
          <w:spacing w:val="-1"/>
          <w:sz w:val="17"/>
          <w:szCs w:val="17"/>
        </w:rPr>
        <w:t xml:space="preserve">31 de diciembre del </w:t>
      </w:r>
      <w:r w:rsidR="009831D5">
        <w:rPr>
          <w:rFonts w:ascii="Arial" w:eastAsia="Calibri" w:hAnsi="Arial" w:cs="Arial"/>
          <w:spacing w:val="-1"/>
          <w:sz w:val="17"/>
          <w:szCs w:val="17"/>
        </w:rPr>
        <w:t>2019</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81697F">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DF74BA" w:rsidRPr="002D70DA" w:rsidRDefault="0081697F">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2B0CD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single" w:sz="4" w:space="0" w:color="auto"/>
              <w:left w:val="nil"/>
              <w:bottom w:val="single" w:sz="4" w:space="0" w:color="auto"/>
              <w:right w:val="single" w:sz="4" w:space="0" w:color="auto"/>
            </w:tcBorders>
            <w:shd w:val="clear" w:color="auto" w:fill="auto"/>
            <w:vAlign w:val="center"/>
          </w:tcPr>
          <w:p w:rsidR="00DF74BA" w:rsidRPr="002D70DA" w:rsidRDefault="00577D97">
            <w:pPr>
              <w:jc w:val="right"/>
              <w:rPr>
                <w:rFonts w:ascii="Arial" w:hAnsi="Arial" w:cs="Arial"/>
                <w:b/>
                <w:bCs/>
                <w:color w:val="000000"/>
                <w:sz w:val="17"/>
                <w:szCs w:val="17"/>
              </w:rPr>
            </w:pPr>
            <w:r w:rsidRPr="00577D97">
              <w:rPr>
                <w:rFonts w:ascii="Arial" w:hAnsi="Arial" w:cs="Arial"/>
                <w:b/>
                <w:bCs/>
                <w:color w:val="000000"/>
                <w:sz w:val="17"/>
                <w:szCs w:val="17"/>
              </w:rPr>
              <w:t>48,078,815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971DBA">
            <w:pPr>
              <w:jc w:val="center"/>
              <w:rPr>
                <w:rFonts w:ascii="Arial" w:hAnsi="Arial" w:cs="Arial"/>
                <w:b/>
                <w:bCs/>
                <w:color w:val="000000"/>
                <w:sz w:val="17"/>
                <w:szCs w:val="17"/>
              </w:rPr>
            </w:pPr>
            <w:r>
              <w:rPr>
                <w:rFonts w:ascii="Arial" w:hAnsi="Arial" w:cs="Arial"/>
                <w:b/>
                <w:bCs/>
                <w:color w:val="000000"/>
                <w:sz w:val="17"/>
                <w:szCs w:val="17"/>
              </w:rPr>
              <w:t>100 por ciento</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DF74BA" w:rsidRPr="002D70DA" w:rsidRDefault="00577D97">
            <w:pPr>
              <w:jc w:val="right"/>
              <w:rPr>
                <w:rFonts w:ascii="Arial" w:hAnsi="Arial" w:cs="Arial"/>
                <w:b/>
                <w:bCs/>
                <w:color w:val="000000"/>
                <w:sz w:val="17"/>
                <w:szCs w:val="17"/>
              </w:rPr>
            </w:pPr>
            <w:r w:rsidRPr="00577D97">
              <w:rPr>
                <w:rFonts w:ascii="Arial" w:hAnsi="Arial" w:cs="Arial"/>
                <w:b/>
                <w:bCs/>
                <w:color w:val="000000"/>
                <w:sz w:val="17"/>
                <w:szCs w:val="17"/>
              </w:rPr>
              <w:t>48,078,815</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B811F0" w:rsidRDefault="00B811F0">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795E45">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597C28"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No existen cuentas de orden que informar.</w:t>
      </w:r>
    </w:p>
    <w:p w:rsidR="00597C28" w:rsidRDefault="00597C28">
      <w:pPr>
        <w:rPr>
          <w:rFonts w:ascii="Arial" w:hAnsi="Arial" w:cs="Arial"/>
          <w:b/>
          <w:sz w:val="17"/>
          <w:szCs w:val="17"/>
        </w:rPr>
      </w:pPr>
      <w:r>
        <w:rPr>
          <w:rFonts w:ascii="Arial" w:hAnsi="Arial" w:cs="Arial"/>
          <w:b/>
          <w:sz w:val="17"/>
          <w:szCs w:val="17"/>
        </w:rPr>
        <w:br w:type="page"/>
      </w:r>
    </w:p>
    <w:p w:rsidR="00FE41FE" w:rsidRPr="002D70DA" w:rsidRDefault="00FE41FE" w:rsidP="00FE41FE">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FE41FE" w:rsidRPr="00A67440" w:rsidRDefault="00FE41FE" w:rsidP="00FE41FE">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Los Estados Financieros de los entes públicos, proveen de información financiera a los principales usuarios de la misma, entre ellos está la H. Legislatura del Estado de Querétaro, así como la ciudadanía en general que demanda información sobre la situación contable de</w:t>
      </w:r>
      <w:r w:rsidR="006F6DA4">
        <w:rPr>
          <w:rFonts w:ascii="Arial" w:eastAsia="Calibri" w:hAnsi="Arial" w:cs="Arial"/>
          <w:spacing w:val="-1"/>
          <w:sz w:val="17"/>
          <w:szCs w:val="17"/>
        </w:rPr>
        <w:t xml:space="preserve"> </w:t>
      </w:r>
      <w:r w:rsidR="006F6DA4" w:rsidRPr="00F50AC7">
        <w:rPr>
          <w:rFonts w:ascii="Arial" w:eastAsia="Calibri" w:hAnsi="Arial" w:cs="Arial"/>
          <w:spacing w:val="-1"/>
          <w:sz w:val="17"/>
          <w:szCs w:val="17"/>
        </w:rPr>
        <w:t>l</w:t>
      </w:r>
      <w:r w:rsidR="00DF387B">
        <w:rPr>
          <w:rFonts w:ascii="Arial" w:eastAsia="Calibri" w:hAnsi="Arial" w:cs="Arial"/>
          <w:spacing w:val="-1"/>
          <w:sz w:val="17"/>
          <w:szCs w:val="17"/>
        </w:rPr>
        <w:t>a</w:t>
      </w:r>
      <w:r w:rsidR="006F6DA4">
        <w:rPr>
          <w:rFonts w:ascii="Arial" w:eastAsia="Calibri" w:hAnsi="Arial" w:cs="Arial"/>
          <w:spacing w:val="-1"/>
          <w:sz w:val="17"/>
          <w:szCs w:val="17"/>
        </w:rPr>
        <w:t xml:space="preserve">s </w:t>
      </w:r>
      <w:r w:rsidR="0062320E">
        <w:rPr>
          <w:rFonts w:ascii="Arial" w:eastAsia="Calibri" w:hAnsi="Arial" w:cs="Arial"/>
          <w:spacing w:val="-1"/>
          <w:sz w:val="17"/>
          <w:szCs w:val="17"/>
        </w:rPr>
        <w:t>ÓRGANOS AUTÓNOMOS DEL ESTADO DE QUERÉTARO</w:t>
      </w:r>
      <w:r w:rsidRPr="00797197">
        <w:rPr>
          <w:rFonts w:ascii="Arial" w:eastAsia="Calibri" w:hAnsi="Arial" w:cs="Arial"/>
          <w:spacing w:val="-1"/>
          <w:sz w:val="17"/>
          <w:szCs w:val="17"/>
        </w:rPr>
        <w:t>.</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objetivo del presente documento es la revelación del contexto y de los aspectos económicos</w:t>
      </w:r>
      <w:r>
        <w:rPr>
          <w:rFonts w:ascii="Arial" w:eastAsia="Calibri" w:hAnsi="Arial" w:cs="Arial"/>
          <w:spacing w:val="-1"/>
          <w:sz w:val="17"/>
          <w:szCs w:val="17"/>
        </w:rPr>
        <w:t xml:space="preserve"> </w:t>
      </w:r>
      <w:r w:rsidRPr="00797197">
        <w:rPr>
          <w:rFonts w:ascii="Arial" w:eastAsia="Calibri" w:hAnsi="Arial" w:cs="Arial"/>
          <w:spacing w:val="-1"/>
          <w:sz w:val="17"/>
          <w:szCs w:val="17"/>
        </w:rPr>
        <w:t xml:space="preserve">financieros más relevantes que influyeron en las decisiones del período, que comprende del 1 de </w:t>
      </w:r>
      <w:r>
        <w:rPr>
          <w:rFonts w:ascii="Arial" w:eastAsia="Calibri" w:hAnsi="Arial" w:cs="Arial"/>
          <w:spacing w:val="-1"/>
          <w:sz w:val="17"/>
          <w:szCs w:val="17"/>
        </w:rPr>
        <w:t>enero</w:t>
      </w:r>
      <w:r w:rsidRPr="00797197">
        <w:rPr>
          <w:rFonts w:ascii="Arial" w:eastAsia="Calibri" w:hAnsi="Arial" w:cs="Arial"/>
          <w:spacing w:val="-1"/>
          <w:sz w:val="17"/>
          <w:szCs w:val="17"/>
        </w:rPr>
        <w:t xml:space="preserve">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797197">
        <w:rPr>
          <w:rFonts w:ascii="Arial" w:eastAsia="Calibri" w:hAnsi="Arial" w:cs="Arial"/>
          <w:spacing w:val="-1"/>
          <w:sz w:val="17"/>
          <w:szCs w:val="17"/>
        </w:rPr>
        <w:t>, y que se consideraron en la elaboración de los estados financieros para la mayor comprensión de los mismos y sus particularidades.</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De esta manera, se informa y explica la respuesta del gobierno a las condiciones relacionadas con la información financiera del período de gestión; además, de exponer aquellas políticas que podrían afectar la toma de decisiones en períodos posteriores.</w:t>
      </w:r>
    </w:p>
    <w:p w:rsidR="00FE41FE" w:rsidRPr="00A67440" w:rsidRDefault="00FE41FE" w:rsidP="00FE41FE">
      <w:pPr>
        <w:spacing w:before="120" w:after="120" w:line="240" w:lineRule="exact"/>
        <w:jc w:val="both"/>
        <w:rPr>
          <w:rFonts w:ascii="Arial" w:eastAsia="Calibri" w:hAnsi="Arial" w:cs="Arial"/>
          <w:spacing w:val="-1"/>
          <w:sz w:val="17"/>
          <w:szCs w:val="17"/>
        </w:rPr>
      </w:pPr>
    </w:p>
    <w:p w:rsidR="004D2674" w:rsidRPr="00B84F0E" w:rsidRDefault="004D2674"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807759">
        <w:rPr>
          <w:rFonts w:ascii="Arial" w:eastAsia="Calibri" w:hAnsi="Arial" w:cs="Arial"/>
          <w:b/>
          <w:spacing w:val="-1"/>
          <w:sz w:val="17"/>
          <w:szCs w:val="17"/>
        </w:rPr>
        <w:t>Panorama Económico y Financiero</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Según el último informe trimestral del Banco de México (BANXICO) correspondiente al tercer trimestre de 2019 (3T-2019) emitido el pasado 27 de noviembre de 2019, señala que las condiciones externas presentadas continuaron con la desaceleración de la economía mundial y sus perspectivas de crecimiento han seguido revisándose a la baja. La desaceleración refleja los efectos de las prolongadas tensiones comerciales, los elevados riesgos geopolíticos y algunos factores idiosincrásicos en varias economías. Los mercados laborales de economías avanzadas continúan mostrando fortaleza y los salarios han aumentado a un ritmo moderado. En este contexto, las inflaciones general y subyacente se mantuvieron en niveles reducidos en la mayoría de las economías avanzadas, manteniéndose así por debajo de la meta de sus respectivos bancos centrales. Así, algunos de los principales bancos centrales, tanto de las economías avanzadas como de las emergentes, implementaron acciones de relajamiento monetario. Los precios de los activos financieros presenta</w:t>
      </w:r>
      <w:r>
        <w:rPr>
          <w:rFonts w:ascii="Arial" w:eastAsia="Calibri" w:hAnsi="Arial" w:cs="Arial"/>
          <w:spacing w:val="-1"/>
          <w:sz w:val="17"/>
          <w:szCs w:val="17"/>
        </w:rPr>
        <w:t>ron fluctuaciones significativa</w:t>
      </w:r>
      <w:r w:rsidRPr="00554ED1">
        <w:rPr>
          <w:rFonts w:ascii="Arial" w:eastAsia="Calibri" w:hAnsi="Arial" w:cs="Arial"/>
          <w:spacing w:val="-1"/>
          <w:sz w:val="17"/>
          <w:szCs w:val="17"/>
        </w:rPr>
        <w:t xml:space="preserve">s derivadas principalmente de los altibajos en las tensiones comerciales y la evolución de las negociaciones sobre el </w:t>
      </w:r>
      <w:proofErr w:type="spellStart"/>
      <w:r w:rsidRPr="00554ED1">
        <w:rPr>
          <w:rFonts w:ascii="Arial" w:eastAsia="Calibri" w:hAnsi="Arial" w:cs="Arial"/>
          <w:spacing w:val="-1"/>
          <w:sz w:val="17"/>
          <w:szCs w:val="17"/>
        </w:rPr>
        <w:t>Brexit</w:t>
      </w:r>
      <w:proofErr w:type="spellEnd"/>
      <w:r w:rsidRPr="00554ED1">
        <w:rPr>
          <w:rFonts w:ascii="Arial" w:eastAsia="Calibri" w:hAnsi="Arial" w:cs="Arial"/>
          <w:spacing w:val="-1"/>
          <w:sz w:val="17"/>
          <w:szCs w:val="17"/>
        </w:rPr>
        <w:t>. No obstante, recientemente estos riesgos se han atenuado. Ello y las posturas monetarias acomodaticias han contribuido a un mejor desempeño de los mercados. Las tensiones comerciales y su efecto en el crecimiento global y el relajamiento de las condiciones financieras globales han afectado la composición de los flujos de capital, con contracciones en renta variable y aumentos en renta fija, así como con episodios de volati</w:t>
      </w:r>
      <w:r>
        <w:rPr>
          <w:rFonts w:ascii="Arial" w:eastAsia="Calibri" w:hAnsi="Arial" w:cs="Arial"/>
          <w:spacing w:val="-1"/>
          <w:sz w:val="17"/>
          <w:szCs w:val="17"/>
        </w:rPr>
        <w:t>lidad en el apetito por riesgo.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Con respecto a la evolución de la Economía Mexicana, BANXICO informa que en el 3T-2019 la actividad económica de México mostró un estancamiento, luego de registrar ligeras caídas entre el 4T-2018 y el 2T-2019. Dicho comportamiento reflejó una pérdida de dinamismo de la demanda agregada, en un contexto en el que prevaleció la incertidumbre asociada tanto a factores externos, como internos. La actividad industrial siguió mostrando un desempeño desfavorable, mientras que el sector servicios ha exhibido atonía. En cuanto al desempeño de la demanda interna, el consumo privado continuó mostrando debilidad. Ello como consecuencia de una desaceleración del consumo de servicios y de bienes, especialmente de origen importado. Por su parte, las remesas y la masa salarial real han mostrado una tendencia creciente. Con relación a la inversión fija bruta, prevaleció el desempeño desfavorable que este indicador ha venido registrando desde el 2S-2015 y especialmente desde inicios de 2018, como reflejo del menor gasto en maquinaria y equipo y de la debilidad de la construcción. En el 3T-2019, las exportaciones manufactureras mostraron una pérdida de dinamismo respecto del crecimiento exhibido en el 2T, en congruencia con el entorno de tensiones comerciales y de desaceleración del comercio mundial, especialmente de la producción manufacturera. En el 3T-2019, las fuentes de recursos financieros de la economía continuaron creciendo a un ritmo bajo con respecto a lo observado en años anteriores, reflejando a su interior una tasa de crecimiento menor de las fuentes externas y un ligero repunte de las internas. En el 3T-2019, tanto la tasa de desocupación nacional, como la urbana, siguieron mostrando niveles superiores a los reportados en 2018. Entre los factores que los empresarios y analistas consideran que podrían limitar el crecimiento destacan los relacionados con la gobernanza. En caso de tener avances en algunos problemas que por años han afectado a la economía, como el estado de derecho (corrupción, inseguridad e impunidad), se propiciaría un entorno que permitiría impulsar el crecimiento.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 xml:space="preserve">BANXICO menciona en su informe en el 3T-2019, que la inflación general anual mostró una tendencia descendente. Así, mientras que en el 2T-2019 la inflación general anual promedio fue 4.21%, en el 3T se ubicó en 3.31%, registrando 3.10% en la 1Q-Nov. Este comportamiento es atribuible al importante descenso que ha exhibido la inflación no subyacente anual. Por su parte, la inflación subyacente anual continuó presentando persistencia, si bien recientemente mostró cierta reducción. En días pasados la inflación anual de México en 2019 apunta a cerrar este año como la segunda más baja del actual siglo. Al cierre de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el indicador se ubica en 2.63 por ciento, según datos del Instituto Nacional de Estadística y Geografía (INEGI). De acuerdo con la última encuesta a especialistas del Banco de México, el promedio espera que el indicador cierre el año en 2.92 por ciento. De confirmarse estos datos, la inflación de todo 2019 será la segunda menor desde el 2000, solo superada por el 2.13 por ciento de 2015. La caída en el indicador ha sido impulsada, según el BANXICO, por menores variaciones en los precios de los energéticos, y en algunos productos agropecuarios. De hecho, a la primera quincena de </w:t>
      </w:r>
      <w:r>
        <w:rPr>
          <w:rFonts w:ascii="Arial" w:eastAsia="Calibri" w:hAnsi="Arial" w:cs="Arial"/>
          <w:spacing w:val="-1"/>
          <w:sz w:val="17"/>
          <w:szCs w:val="17"/>
        </w:rPr>
        <w:t>Diciembre</w:t>
      </w:r>
      <w:r w:rsidRPr="00554ED1">
        <w:rPr>
          <w:rFonts w:ascii="Arial" w:eastAsia="Calibri" w:hAnsi="Arial" w:cs="Arial"/>
          <w:spacing w:val="-1"/>
          <w:sz w:val="17"/>
          <w:szCs w:val="17"/>
        </w:rPr>
        <w:t xml:space="preserve"> los energéticos no sólo han subido, sino que han caído 0.08 por ciento anual, mientras que los productos agropecuarios lo han hecho en 0.17 por ciento, según cifras del INEGI. Para el siguiente año, el Banco Central estima que la inflación se mantenga en niveles cercanos al 3 por ciento, dentro del rango objetivo de la institución de 3 por ciento +/- un punto porcentual.</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Sobre la conducción de la Política Monetaria, la Junta de Gobierno de BANXICO durante las reuniones de los pasados meses de agosto, septiembre y noviembre se llevaron a cabo reducciones en cada una de ellas de 25pb en la Tasa, llegando a un nivel de 7.50%. En los comunicados de las reuniones se destacó que dichas reducciones se derivaron con base a los siguientes factores que se estaban observando:</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Los menores niveles que registraba la inflación general.</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La mayor amplitud de las condiciones de holgura en la economía.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comportamiento reciente de las curvas de rendimiento externas e internas.</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tasas de interés en México han reflejado los efectos de las menores tasas de interés externas, registrando disminuciones en todos sus plazos, mientras que las de corto plazo estuvieron influidas, principalmente, por las reducciones en la tasa de interés objetivo. Si bien la moneda nacional presentó una depreciación en la primera parte del 3T-2019 asociada a un menor apetito por riesgo global, esta se ha revertido parcialmente acompañada de menores niveles de volatilidad. Ello se debe, en parte, aun mayor apetito por riesgo asociado a las menores tensiones comerciales entre China y Estados Unidos. Las expectativas de inflación de corto plazo provenientes de encuestas han seguido a la información más reciente, mientras que las de mayor plazo han permanecido relativamente estables, si bien en niveles superiores a 3%. Por su parte, la compensación por inflación y riesgo inflacionario extraída de instrumentos de mercado registró una disminución.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Las previsiones para la Actividad Económica, BANXICO estima en su Informe que se anticipa que la economía empiece a mostrar tasas de crecimiento más elevadas a partir del 2020, si bien la recuperación se retrasó respecto a lo previsto en el Informe anterior. En un entorno de marcada incertidumbre, los elementos de riesgo externos e internos que persisten dan lugar a que el balance de riesgos para la actividad económica del país se mantenga sesgado a la baja. Por lo que los riesgos para el escenario de crecimiento en el horizonte de pronóstico serían:</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A la baja derivado al agravamiento de las tensiones comerciales, prolongación del proceso de ratificación del T-MEC en Estados Unidos y Canadá, episodios de volatilidad en los mercados financieros internacionales, desaceleración mayor a la esperada de la economía y el comercio globales, mayor persistencia en la debilidad de los componentes de la demanda agregada, deterioro en la calificación de la deuda soberana o de Pemex, así como el ejercicio del gasto público en 2020 menor al esperado.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lastRenderedPageBreak/>
        <w:t>•</w:t>
      </w:r>
      <w:r w:rsidRPr="00554ED1">
        <w:rPr>
          <w:rFonts w:ascii="Arial" w:eastAsia="Calibri" w:hAnsi="Arial" w:cs="Arial"/>
          <w:spacing w:val="-1"/>
          <w:sz w:val="17"/>
          <w:szCs w:val="17"/>
        </w:rPr>
        <w:tab/>
        <w:t>Al alza con la formalización del T-MEC, dinamismo de la producción industrial en Estados Unidos mayor al anticipado así como de la demanda agregada a mayor al previsto.</w:t>
      </w:r>
    </w:p>
    <w:p w:rsidR="004D2674"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 xml:space="preserve">Se continúa anticipando que la inflación general se mantenga en niveles cercanos a 3%, si bien se prevé que presente un ligero aumento en el 1T-2020. En cuanto a la inflación subyacente anual, se espera que se ubique en niveles cercanos a 3% desde el 3T-2020. Los riesgos para el escenario de Inflación, en este contexto, se </w:t>
      </w:r>
      <w:proofErr w:type="gramStart"/>
      <w:r w:rsidRPr="00554ED1">
        <w:rPr>
          <w:rFonts w:ascii="Arial" w:eastAsia="Calibri" w:hAnsi="Arial" w:cs="Arial"/>
          <w:spacing w:val="-1"/>
          <w:sz w:val="17"/>
          <w:szCs w:val="17"/>
        </w:rPr>
        <w:t>mantiene</w:t>
      </w:r>
      <w:proofErr w:type="gramEnd"/>
      <w:r w:rsidRPr="00554ED1">
        <w:rPr>
          <w:rFonts w:ascii="Arial" w:eastAsia="Calibri" w:hAnsi="Arial" w:cs="Arial"/>
          <w:spacing w:val="-1"/>
          <w:sz w:val="17"/>
          <w:szCs w:val="17"/>
        </w:rPr>
        <w:t xml:space="preserve"> incertidumbre en cuanto a los riesgos que pudieran desviar la inflación respecto de la trayectoria esperada.</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De las Consideraciones Finales BANXICO establece en su informe lo siguiente:</w:t>
      </w:r>
    </w:p>
    <w:p w:rsidR="004D2674" w:rsidRPr="00554ED1" w:rsidRDefault="004D2674" w:rsidP="004D2674">
      <w:pPr>
        <w:spacing w:before="120" w:after="120" w:line="240" w:lineRule="exact"/>
        <w:jc w:val="both"/>
        <w:rPr>
          <w:rFonts w:ascii="Arial" w:eastAsia="Calibri" w:hAnsi="Arial" w:cs="Arial"/>
          <w:spacing w:val="-1"/>
          <w:sz w:val="17"/>
          <w:szCs w:val="17"/>
        </w:rPr>
      </w:pP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El 25 de noviembre se anunció la aprobación, por parte del Fondo Monetario Internacional (FMI), de la solicitud de la Comisión de Cambios de renovar la Línea de Crédito Flexible por dos años más por cerca de 61 mil millones de dólares. El FMI resaltó que el país ha continuado implementando políticas económicas y marcos de política sólidos, además de que cuenta con fuertes fundamentos económicos que le han permitido transitar exitosamente por un entorno externo complejo.</w:t>
      </w:r>
    </w:p>
    <w:p w:rsidR="004D2674" w:rsidRPr="00554ED1"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 xml:space="preserve">Es necesario impulsar una reactivación de la inversión propiciando un ambiente de certidumbre y que fortalezcan el clima para hacer negocios, respaldada por un marco macroeconómico sólido y </w:t>
      </w:r>
      <w:proofErr w:type="spellStart"/>
      <w:r w:rsidRPr="00554ED1">
        <w:rPr>
          <w:rFonts w:ascii="Arial" w:eastAsia="Calibri" w:hAnsi="Arial" w:cs="Arial"/>
          <w:spacing w:val="-1"/>
          <w:sz w:val="17"/>
          <w:szCs w:val="17"/>
        </w:rPr>
        <w:t>resiliente</w:t>
      </w:r>
      <w:proofErr w:type="spellEnd"/>
      <w:r w:rsidRPr="00554ED1">
        <w:rPr>
          <w:rFonts w:ascii="Arial" w:eastAsia="Calibri" w:hAnsi="Arial" w:cs="Arial"/>
          <w:spacing w:val="-1"/>
          <w:sz w:val="17"/>
          <w:szCs w:val="17"/>
        </w:rPr>
        <w:t>, apoyado por la disciplina fiscal, la estabilidad de precios y la estabilidad financiera.</w:t>
      </w:r>
    </w:p>
    <w:p w:rsidR="004D2674" w:rsidRDefault="004D2674" w:rsidP="004D2674">
      <w:pPr>
        <w:spacing w:before="120" w:after="120" w:line="240" w:lineRule="exact"/>
        <w:jc w:val="both"/>
        <w:rPr>
          <w:rFonts w:ascii="Arial" w:eastAsia="Calibri" w:hAnsi="Arial" w:cs="Arial"/>
          <w:spacing w:val="-1"/>
          <w:sz w:val="17"/>
          <w:szCs w:val="17"/>
        </w:rPr>
      </w:pPr>
      <w:r w:rsidRPr="00554ED1">
        <w:rPr>
          <w:rFonts w:ascii="Arial" w:eastAsia="Calibri" w:hAnsi="Arial" w:cs="Arial"/>
          <w:spacing w:val="-1"/>
          <w:sz w:val="17"/>
          <w:szCs w:val="17"/>
        </w:rPr>
        <w:t>•</w:t>
      </w:r>
      <w:r w:rsidRPr="00554ED1">
        <w:rPr>
          <w:rFonts w:ascii="Arial" w:eastAsia="Calibri" w:hAnsi="Arial" w:cs="Arial"/>
          <w:spacing w:val="-1"/>
          <w:sz w:val="17"/>
          <w:szCs w:val="17"/>
        </w:rPr>
        <w:tab/>
        <w:t>Se requiere fomentar una mayor competencia, proporcionar los incentivos necesarios para privilegiar la creación de valor por sobre la búsqueda de rentas, e incrementar la eficiencia con la que opera la economía. Es prioritario fortalecer el Estado de derecho a través del combate a la inseguridad, la corrupción y la impunidad, y brindar certeza jurídica.</w:t>
      </w:r>
    </w:p>
    <w:p w:rsidR="004D2674" w:rsidRDefault="004D2674">
      <w:pPr>
        <w:rPr>
          <w:rFonts w:ascii="Arial" w:hAnsi="Arial" w:cs="Arial"/>
          <w:b/>
          <w:bCs/>
          <w:color w:val="000000"/>
          <w:sz w:val="18"/>
          <w:szCs w:val="34"/>
          <w:shd w:val="clear" w:color="auto" w:fill="FFFFFF"/>
        </w:rPr>
      </w:pPr>
      <w:r>
        <w:rPr>
          <w:rFonts w:ascii="Arial" w:hAnsi="Arial" w:cs="Arial"/>
          <w:b/>
          <w:bCs/>
          <w:color w:val="000000"/>
          <w:sz w:val="18"/>
          <w:szCs w:val="34"/>
          <w:shd w:val="clear" w:color="auto" w:fill="FFFFFF"/>
        </w:rPr>
        <w:br w:type="page"/>
      </w:r>
    </w:p>
    <w:p w:rsidR="00FE41FE" w:rsidRPr="005F29C7" w:rsidRDefault="00FE41FE" w:rsidP="00FE41FE">
      <w:pPr>
        <w:spacing w:before="120" w:after="120" w:line="240" w:lineRule="exact"/>
        <w:ind w:firstLine="360"/>
        <w:jc w:val="both"/>
        <w:rPr>
          <w:rFonts w:ascii="Arial" w:eastAsia="Calibri" w:hAnsi="Arial" w:cs="Arial"/>
          <w:noProof/>
          <w:spacing w:val="-1"/>
          <w:sz w:val="14"/>
          <w:szCs w:val="17"/>
        </w:rPr>
      </w:pPr>
      <w:r w:rsidRPr="005F29C7">
        <w:rPr>
          <w:rFonts w:ascii="Arial" w:hAnsi="Arial" w:cs="Arial"/>
          <w:b/>
          <w:bCs/>
          <w:color w:val="000000"/>
          <w:sz w:val="18"/>
          <w:szCs w:val="34"/>
          <w:shd w:val="clear" w:color="auto" w:fill="FFFFFF"/>
        </w:rPr>
        <w:lastRenderedPageBreak/>
        <w:t>Indicador Trimestral de la Actividad Económica Estatal</w:t>
      </w:r>
    </w:p>
    <w:p w:rsidR="004D2674" w:rsidRDefault="004D2674" w:rsidP="004D2674">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p>
    <w:p w:rsidR="004D2674" w:rsidRPr="009E7D50" w:rsidRDefault="004D2674" w:rsidP="004D2674">
      <w:pPr>
        <w:spacing w:before="120" w:after="120" w:line="240" w:lineRule="exact"/>
        <w:jc w:val="center"/>
        <w:rPr>
          <w:rFonts w:ascii="Arial" w:eastAsia="Calibri" w:hAnsi="Arial" w:cs="Arial"/>
          <w:spacing w:val="-1"/>
          <w:sz w:val="17"/>
          <w:szCs w:val="17"/>
        </w:rPr>
      </w:pPr>
      <w:r>
        <w:rPr>
          <w:rFonts w:ascii="Arial" w:hAnsi="Arial" w:cs="Arial"/>
          <w:b/>
          <w:smallCaps/>
          <w:sz w:val="22"/>
        </w:rPr>
        <w:t xml:space="preserve">durante el tercer trimestre </w:t>
      </w:r>
      <w:r w:rsidRPr="006F056B">
        <w:rPr>
          <w:rFonts w:ascii="Arial" w:hAnsi="Arial" w:cs="Arial"/>
          <w:b/>
          <w:smallCaps/>
          <w:sz w:val="22"/>
          <w:szCs w:val="22"/>
        </w:rPr>
        <w:t xml:space="preserve">de </w:t>
      </w:r>
      <w:r>
        <w:rPr>
          <w:rFonts w:ascii="Arial" w:hAnsi="Arial" w:cs="Arial"/>
          <w:b/>
          <w:smallCaps/>
          <w:sz w:val="22"/>
          <w:szCs w:val="22"/>
        </w:rPr>
        <w:t>2019</w:t>
      </w:r>
    </w:p>
    <w:tbl>
      <w:tblPr>
        <w:tblStyle w:val="Tablaconcuadrcula"/>
        <w:tblpPr w:leftFromText="141" w:rightFromText="141" w:vertAnchor="text" w:horzAnchor="margin" w:tblpXSpec="center" w:tblpY="101"/>
        <w:tblOverlap w:val="never"/>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4D2674" w:rsidTr="00A21366">
        <w:tc>
          <w:tcPr>
            <w:tcW w:w="4346" w:type="dxa"/>
            <w:shd w:val="clear" w:color="auto" w:fill="BDD6EE" w:themeFill="accent1" w:themeFillTint="66"/>
            <w:vAlign w:val="center"/>
          </w:tcPr>
          <w:p w:rsidR="004D2674" w:rsidRPr="000A578B" w:rsidRDefault="004D2674" w:rsidP="00A21366">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DD6EE" w:themeFill="accent1" w:themeFillTint="66"/>
            <w:vAlign w:val="center"/>
          </w:tcPr>
          <w:p w:rsidR="004D2674" w:rsidRDefault="004D2674" w:rsidP="00A21366">
            <w:pPr>
              <w:pStyle w:val="p0"/>
              <w:spacing w:before="120"/>
              <w:ind w:left="127"/>
              <w:jc w:val="center"/>
            </w:pPr>
            <w:r>
              <w:rPr>
                <w:rFonts w:cs="Arial"/>
                <w:sz w:val="18"/>
              </w:rPr>
              <w:t>Contribución 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del ITAEE</w:t>
            </w:r>
            <w:r w:rsidRPr="00962D1C">
              <w:rPr>
                <w:rFonts w:cs="Arial"/>
                <w:sz w:val="18"/>
                <w:vertAlign w:val="superscript"/>
              </w:rPr>
              <w:t>1/</w:t>
            </w:r>
          </w:p>
        </w:tc>
      </w:tr>
      <w:tr w:rsidR="004D2674" w:rsidTr="00A21366">
        <w:tblPrEx>
          <w:tblCellMar>
            <w:left w:w="70" w:type="dxa"/>
            <w:right w:w="70" w:type="dxa"/>
          </w:tblCellMar>
        </w:tblPrEx>
        <w:tc>
          <w:tcPr>
            <w:tcW w:w="4346" w:type="dxa"/>
            <w:vAlign w:val="center"/>
          </w:tcPr>
          <w:p w:rsidR="004D2674" w:rsidRDefault="004D2674" w:rsidP="00A21366">
            <w:pPr>
              <w:pStyle w:val="p0"/>
              <w:spacing w:before="0"/>
              <w:ind w:left="-116"/>
              <w:jc w:val="center"/>
            </w:pPr>
            <w:r>
              <w:rPr>
                <w:noProof/>
                <w:lang w:val="es-MX" w:eastAsia="es-MX"/>
              </w:rPr>
              <w:drawing>
                <wp:inline distT="0" distB="0" distL="0" distR="0" wp14:anchorId="02AABEED" wp14:editId="6B6B33AE">
                  <wp:extent cx="2520000" cy="4500000"/>
                  <wp:effectExtent l="57150" t="38100" r="71120" b="91440"/>
                  <wp:docPr id="8" name="Gráfic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vAlign w:val="center"/>
          </w:tcPr>
          <w:p w:rsidR="004D2674" w:rsidRDefault="004D2674" w:rsidP="00A21366">
            <w:pPr>
              <w:pStyle w:val="p0"/>
              <w:spacing w:before="0"/>
              <w:ind w:left="-67" w:right="-74"/>
              <w:jc w:val="center"/>
            </w:pPr>
            <w:r>
              <w:rPr>
                <w:noProof/>
                <w:lang w:val="es-MX" w:eastAsia="es-MX"/>
              </w:rPr>
              <w:drawing>
                <wp:inline distT="0" distB="0" distL="0" distR="0" wp14:anchorId="0AAA9327" wp14:editId="4CDBE9CD">
                  <wp:extent cx="2521585" cy="4500000"/>
                  <wp:effectExtent l="57150" t="38100" r="69215" b="91440"/>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4D2674" w:rsidRDefault="004D2674" w:rsidP="004D2674">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Autorización e Historia</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El 4 de octubre de 1824 se establece en México la República Federal, la Constitución incluye a Querétaro como Estado de la Federación. Ahora bien, el artículo 1 de la Constitución Política del Estado de Querétaro, establece:</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estado de Querétaro es parte integrante de la Federación Mexicana, es libre y autónomo en lo que </w:t>
      </w:r>
      <w:r>
        <w:rPr>
          <w:rFonts w:ascii="Arial" w:eastAsia="Calibri" w:hAnsi="Arial" w:cs="Arial"/>
          <w:i/>
          <w:spacing w:val="-1"/>
          <w:sz w:val="17"/>
          <w:szCs w:val="17"/>
        </w:rPr>
        <w:t>s</w:t>
      </w:r>
      <w:r w:rsidRPr="002302DE">
        <w:rPr>
          <w:rFonts w:ascii="Arial" w:eastAsia="Calibri" w:hAnsi="Arial" w:cs="Arial"/>
          <w:i/>
          <w:spacing w:val="-1"/>
          <w:sz w:val="17"/>
          <w:szCs w:val="17"/>
        </w:rPr>
        <w:t>e refiere a su régimen interno y sólo delega sus facultades en los Poderes Federales, en todo aquello que fije expresamente la constitución Política de los Estado Unidos mexicas”</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artículo 13 del mismo ordenamiento legal, establece:</w:t>
      </w:r>
      <w:r w:rsidRPr="00A70147">
        <w:rPr>
          <w:rFonts w:ascii="Arial" w:eastAsia="Calibri" w:hAnsi="Arial" w:cs="Arial"/>
          <w:noProof/>
          <w:spacing w:val="-1"/>
          <w:sz w:val="17"/>
          <w:szCs w:val="17"/>
        </w:rPr>
        <w:t xml:space="preserve"> </w:t>
      </w:r>
    </w:p>
    <w:p w:rsidR="00FE41FE" w:rsidRPr="002302DE" w:rsidRDefault="00FE41FE" w:rsidP="00FE41FE">
      <w:pPr>
        <w:spacing w:before="120" w:after="120" w:line="240" w:lineRule="exact"/>
        <w:ind w:left="1701" w:right="2515"/>
        <w:jc w:val="both"/>
        <w:rPr>
          <w:rFonts w:ascii="Arial" w:eastAsia="Calibri" w:hAnsi="Arial" w:cs="Arial"/>
          <w:i/>
          <w:spacing w:val="-1"/>
          <w:sz w:val="17"/>
          <w:szCs w:val="17"/>
        </w:rPr>
      </w:pPr>
      <w:r w:rsidRPr="002302DE">
        <w:rPr>
          <w:rFonts w:ascii="Arial" w:eastAsia="Calibri" w:hAnsi="Arial" w:cs="Arial"/>
          <w:i/>
          <w:spacing w:val="-1"/>
          <w:sz w:val="17"/>
          <w:szCs w:val="17"/>
        </w:rPr>
        <w:t>“El Poder Público del Estado se divide para su ejercicio en las funciones: Legislativa, Ejecutiva y Judicial…”</w:t>
      </w:r>
    </w:p>
    <w:p w:rsidR="00FE41FE" w:rsidRPr="00797197"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En el capítulo Cuarto, Sección Tercera del precepto legal antes mencionado, estable las facultades y responsabilidades del Poder Ejecutivo del Estado de Querétaro.</w:t>
      </w:r>
    </w:p>
    <w:p w:rsidR="00FE41FE" w:rsidRDefault="00FE41FE" w:rsidP="00FE41FE">
      <w:pPr>
        <w:spacing w:before="120" w:after="120" w:line="240" w:lineRule="exact"/>
        <w:jc w:val="both"/>
        <w:rPr>
          <w:rFonts w:ascii="Arial" w:eastAsia="Calibri" w:hAnsi="Arial" w:cs="Arial"/>
          <w:spacing w:val="-1"/>
          <w:sz w:val="17"/>
          <w:szCs w:val="17"/>
        </w:rPr>
      </w:pPr>
      <w:r w:rsidRPr="00797197">
        <w:rPr>
          <w:rFonts w:ascii="Arial" w:eastAsia="Calibri" w:hAnsi="Arial" w:cs="Arial"/>
          <w:spacing w:val="-1"/>
          <w:sz w:val="17"/>
          <w:szCs w:val="17"/>
        </w:rPr>
        <w:t xml:space="preserve">En lo que se refiere a la estructura del Poder Ejecutivo del Estado de Querétaro, está manifestada en la Ley Orgánica del Poder Ejecutivo del Estado de Querétaro, publicada en el Periódico Oficial del 17 de noviembre del 2008, con </w:t>
      </w:r>
      <w:r w:rsidRPr="007F4D94">
        <w:rPr>
          <w:rFonts w:ascii="Arial" w:eastAsia="Calibri" w:hAnsi="Arial" w:cs="Arial"/>
          <w:spacing w:val="-1"/>
          <w:sz w:val="17"/>
          <w:szCs w:val="17"/>
        </w:rPr>
        <w:t xml:space="preserve">última reforma de fecha 9 de abril de </w:t>
      </w:r>
      <w:r w:rsidR="009831D5">
        <w:rPr>
          <w:rFonts w:ascii="Arial" w:eastAsia="Calibri" w:hAnsi="Arial" w:cs="Arial"/>
          <w:spacing w:val="-1"/>
          <w:sz w:val="17"/>
          <w:szCs w:val="17"/>
        </w:rPr>
        <w:t>2019</w:t>
      </w:r>
      <w:r w:rsidRPr="007F4D94">
        <w:rPr>
          <w:rFonts w:ascii="Arial" w:eastAsia="Calibri" w:hAnsi="Arial" w:cs="Arial"/>
          <w:spacing w:val="-1"/>
          <w:sz w:val="17"/>
          <w:szCs w:val="17"/>
        </w:rPr>
        <w:t>.</w:t>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Organización y Objeto Social</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conformidad a la Constitución Política del Estado de Querétaro en su artículo 2, una de las funciones del Poder Ejecutivo del Estado de Querétaro, como parte integrante del Gobierno del Estado de Querétaro, 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garantizará el respeto y protección a la persona y a los derechos humanos, promoverá su defensa y proveerá las condiciones necesarias para su ejercicio de conformidad con los principios de universalidad, interdependencia, indivisibilidad y progresividad. En consecuencia, deberá prevenir, investigar, sancionar y reparar las violaciones a los derechos humanos y generar acciones afirmativas a favor de las personas en situación de vulnerabilidad, en los términos que establezca la ley…</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respeta, reconoce, protege y garantiza el derecho a la vida de todo ser humano, desde el momento de la fecundación, como un bien jurídico tutelado y se le reputa como nacido para todos los efectos legales correspondientes, hasta la muerte. Esta disposición no deroga las excusas absolutorias ya contempladas en la legislación penal.</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Las autoridades del Estado salvaguardarán el régimen de los derechos y libertades de todas las personas, por el sólo hecho de encontrarse en el territorio estatal. Los derechos humanos no podrán ser limitados o restringidos; en su interpretación se resolverá siempre a favor del gobernado.” </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De la misma manera en el artículo 3, se establece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“Las autoridades estatales… promoverán la integración, el desarrollo y el fortalecimiento de la familia; sus fines de unidad, convivencia armónica, ayuda mutua y la preservación de los valores de la comunidad. La ley impondrá derechos y obligaciones recíprocos entre sus integrantes.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adoptará medidas que garanticen la no discriminación del individuo y propicien el desarrollo físico, emocional y mental de los menores, de los jóvenes y de todos aquellos que por circunstancias particulares lo requieran. Establecerá un sistema permanente de tutela, apoyo e integración social de los adultos mayores y de las personas discapacitadas que se encuentren en condiciones de desventaja física, mental, social o económica, para facilitarles una vida de mayor calidad, digna, decorosa y su pleno desarrollo…</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lastRenderedPageBreak/>
        <w:t>A fin de evitar las enfermedades de origen alimentario, el Estado deberá implementar las medidas que propicien la adquisición de buenos hábitos alimenticios entre la población, fomentará la producción y el consumo de alimentos con alto valor nutricional y apoyará en esta materia a los sectores más vulnerables de la población…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impulsará el fomento, la organización y la promoción de las actividades formativas, recreativas y competitivas del deporte en la Entidad…</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En el Estado de Querétaro el Gobierno se sustenta en el valor de la ética, por lo que todos los entes Públicos cuentan con un Código de Ética, mediante el establecimiento de una adecuada política, la creación de un comité de ética formalmente constituida y de la realización de la capacitación y difusión en dicho valor.”</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Asimismo, en el artículo 4, menciona lo siguiente: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educación que se imparta en el Estado, promoverá el conocimiento de su geografía, cultura, derechos humanos, características sociales y económicas, valores arqueológicos, históricos y artísticos, tradiciones, lenguas y creencias de los grupos indígenas y el papel de estos en la historia e identidad de los queretanos y de la Nación Mexicana.</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 xml:space="preserve">El Sistema Educativo Estatal estará orientado a exaltar los valores universales cívicos y democráticos del hombre; a propiciar el conocimiento, la defensa y respeto a los derechos humanos; </w:t>
      </w:r>
      <w:r w:rsidRPr="00633B0D">
        <w:rPr>
          <w:rFonts w:ascii="Arial" w:eastAsia="Calibri" w:hAnsi="Arial" w:cs="Arial"/>
          <w:i/>
          <w:spacing w:val="-1"/>
          <w:sz w:val="17"/>
          <w:szCs w:val="17"/>
        </w:rPr>
        <w:t>a fomentar la cultura de la legalidad</w:t>
      </w:r>
      <w:r>
        <w:rPr>
          <w:rFonts w:ascii="Arial" w:eastAsia="Calibri" w:hAnsi="Arial" w:cs="Arial"/>
          <w:i/>
          <w:spacing w:val="-1"/>
          <w:sz w:val="17"/>
          <w:szCs w:val="17"/>
        </w:rPr>
        <w:t xml:space="preserve">, </w:t>
      </w:r>
      <w:r w:rsidRPr="002302DE">
        <w:rPr>
          <w:rFonts w:ascii="Arial" w:eastAsia="Calibri" w:hAnsi="Arial" w:cs="Arial"/>
          <w:i/>
          <w:spacing w:val="-1"/>
          <w:sz w:val="17"/>
          <w:szCs w:val="17"/>
        </w:rPr>
        <w:t>el trabajo productivo para una convivencia social armónica y promover el desarrollo de la ciencia, la tecnología y la innovación. Se reconoce la autonomía de la universidad pública en los términos que la ley establezca. Se promoverá y se atenderá la educación superior necesaria para el desarrollo del Estado, destinando el subsidio suficiente y oportuno para el cumplimiento eficaz de sus fines.</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La cultura de los queretanos constituye un bien irrenunciable y un derecho fundamental. Las leyes protegerán el patrimonio y las manifestaciones culturales; las autoridades, con la participación responsable de la sociedad, promoverán el rescate, la preservación, el fortalecimiento, la protección, la restauración y la difusión del patrimonio cultural que define al pueblo queretano, mismo que es inalienable e imprescriptible.”</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su parte el artículo 5, se establece que:</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un medio ambiente adecuado para su desarrollo y bienestar integral; es obligación de las autoridades y de los habitantes protegerlo.</w:t>
      </w:r>
    </w:p>
    <w:p w:rsidR="00FE41FE" w:rsidRPr="002302DE" w:rsidRDefault="00FE41FE" w:rsidP="00FE41FE">
      <w:pPr>
        <w:spacing w:before="120" w:after="120" w:line="240" w:lineRule="exact"/>
        <w:ind w:left="1701" w:right="2231"/>
        <w:jc w:val="both"/>
        <w:rPr>
          <w:rFonts w:ascii="Arial" w:eastAsia="Calibri" w:hAnsi="Arial" w:cs="Arial"/>
          <w:i/>
          <w:spacing w:val="-1"/>
          <w:sz w:val="17"/>
          <w:szCs w:val="17"/>
        </w:rPr>
      </w:pPr>
      <w:r w:rsidRPr="002302DE">
        <w:rPr>
          <w:rFonts w:ascii="Arial" w:eastAsia="Calibri" w:hAnsi="Arial" w:cs="Arial"/>
          <w:i/>
          <w:spacing w:val="-1"/>
          <w:sz w:val="17"/>
          <w:szCs w:val="17"/>
        </w:rPr>
        <w:t>La protección, la conservación, la restauración y la sustentabilidad de los recursos naturales serán tareas prioritarias del Estado.”</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Por último, en el artículo 6 se señala que:</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“Toda persona tiene derecho a acceder de forma libre y universal a Internet y a las tecnologías de la información y la comunicación.</w:t>
      </w:r>
    </w:p>
    <w:p w:rsidR="00FE41FE" w:rsidRPr="002302DE" w:rsidRDefault="00FE41FE" w:rsidP="00FE41FE">
      <w:pPr>
        <w:spacing w:before="120" w:after="120" w:line="240" w:lineRule="exact"/>
        <w:ind w:left="1701" w:right="2373"/>
        <w:jc w:val="both"/>
        <w:rPr>
          <w:rFonts w:ascii="Arial" w:eastAsia="Calibri" w:hAnsi="Arial" w:cs="Arial"/>
          <w:i/>
          <w:spacing w:val="-1"/>
          <w:sz w:val="17"/>
          <w:szCs w:val="17"/>
        </w:rPr>
      </w:pPr>
      <w:r w:rsidRPr="002302DE">
        <w:rPr>
          <w:rFonts w:ascii="Arial" w:eastAsia="Calibri" w:hAnsi="Arial" w:cs="Arial"/>
          <w:i/>
          <w:spacing w:val="-1"/>
          <w:sz w:val="17"/>
          <w:szCs w:val="17"/>
        </w:rPr>
        <w:t>El Estado está obligado a implementar las políticas necesarias para hacer efectivo este derecho, en los términos establecidos por la Ley.”</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lastRenderedPageBreak/>
        <w:t>Para el desarrollo de las actividades realizadas por el Poder Ejec</w:t>
      </w:r>
      <w:r>
        <w:rPr>
          <w:rFonts w:ascii="Arial" w:eastAsia="Calibri" w:hAnsi="Arial" w:cs="Arial"/>
          <w:spacing w:val="-1"/>
          <w:sz w:val="17"/>
          <w:szCs w:val="17"/>
        </w:rPr>
        <w:t>utivo del Estado de Querétaro, é</w:t>
      </w:r>
      <w:r w:rsidRPr="002302DE">
        <w:rPr>
          <w:rFonts w:ascii="Arial" w:eastAsia="Calibri" w:hAnsi="Arial" w:cs="Arial"/>
          <w:spacing w:val="-1"/>
          <w:sz w:val="17"/>
          <w:szCs w:val="17"/>
        </w:rPr>
        <w:t>stas se encuentran delimitadas en la Ley Orgánica del Poder Ejecutivo del Estado de Querétaro, en la que se establece su estructura organizacional. Asimismo, para la realización de los diversos programas y actividades de g</w:t>
      </w:r>
      <w:r>
        <w:rPr>
          <w:rFonts w:ascii="Arial" w:eastAsia="Calibri" w:hAnsi="Arial" w:cs="Arial"/>
          <w:spacing w:val="-1"/>
          <w:sz w:val="17"/>
          <w:szCs w:val="17"/>
        </w:rPr>
        <w:t xml:space="preserve">obierno, el ejercicio fiscal </w:t>
      </w:r>
      <w:r w:rsidR="009831D5">
        <w:rPr>
          <w:rFonts w:ascii="Arial" w:eastAsia="Calibri" w:hAnsi="Arial" w:cs="Arial"/>
          <w:spacing w:val="-1"/>
          <w:sz w:val="17"/>
          <w:szCs w:val="17"/>
        </w:rPr>
        <w:t>2019</w:t>
      </w:r>
      <w:r w:rsidRPr="002302DE">
        <w:rPr>
          <w:rFonts w:ascii="Arial" w:eastAsia="Calibri" w:hAnsi="Arial" w:cs="Arial"/>
          <w:spacing w:val="-1"/>
          <w:sz w:val="17"/>
          <w:szCs w:val="17"/>
        </w:rPr>
        <w:t xml:space="preserve"> contempla el periodo del 1 de enero </w:t>
      </w:r>
      <w:r>
        <w:rPr>
          <w:rFonts w:ascii="Arial" w:eastAsia="Calibri" w:hAnsi="Arial" w:cs="Arial"/>
          <w:spacing w:val="-1"/>
          <w:sz w:val="17"/>
          <w:szCs w:val="17"/>
        </w:rPr>
        <w:t xml:space="preserve">al 31 de Diciembre del </w:t>
      </w:r>
      <w:r w:rsidR="009831D5">
        <w:rPr>
          <w:rFonts w:ascii="Arial" w:eastAsia="Calibri" w:hAnsi="Arial" w:cs="Arial"/>
          <w:spacing w:val="-1"/>
          <w:sz w:val="17"/>
          <w:szCs w:val="17"/>
        </w:rPr>
        <w:t>2019</w:t>
      </w:r>
      <w:r w:rsidRPr="002302DE">
        <w:rPr>
          <w:rFonts w:ascii="Arial" w:eastAsia="Calibri" w:hAnsi="Arial" w:cs="Arial"/>
          <w:spacing w:val="-1"/>
          <w:sz w:val="17"/>
          <w:szCs w:val="17"/>
        </w:rPr>
        <w:t>.</w:t>
      </w:r>
    </w:p>
    <w:p w:rsidR="00FE41FE" w:rsidRPr="002302DE" w:rsidRDefault="00FE41FE" w:rsidP="00FE41FE">
      <w:pPr>
        <w:spacing w:before="120" w:after="120" w:line="240" w:lineRule="exact"/>
        <w:jc w:val="both"/>
        <w:rPr>
          <w:rFonts w:ascii="Arial" w:eastAsia="Calibri" w:hAnsi="Arial" w:cs="Arial"/>
          <w:spacing w:val="-1"/>
          <w:sz w:val="17"/>
          <w:szCs w:val="17"/>
        </w:rPr>
      </w:pPr>
      <w:r w:rsidRPr="002302DE">
        <w:rPr>
          <w:rFonts w:ascii="Arial" w:eastAsia="Calibri" w:hAnsi="Arial" w:cs="Arial"/>
          <w:spacing w:val="-1"/>
          <w:sz w:val="17"/>
          <w:szCs w:val="17"/>
        </w:rPr>
        <w:t>En cuanto a las obligaciones fiscales del Poder Ejecutivo del Estado de Querétaro, se encuentran establecidos en los diversos ordenamientos legales fiscales tanto de ámbito federal, así como en el aspecto local.</w:t>
      </w:r>
    </w:p>
    <w:p w:rsidR="00FE41FE"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la preparación de los presentes Estados Financieros, se han elaborado en apego a la normatividad y lineamientos vigentes, emitidos a la fecha por el Consejo Nacional de Armonización Contable (CONAC).</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Asimismo, en lo referente a la valuación y revelación de diversos rubros de la información financiera, se ha considerado lo establecido en las “</w:t>
      </w:r>
      <w:r w:rsidRPr="00F50AC7">
        <w:rPr>
          <w:rFonts w:ascii="Arial" w:eastAsia="Calibri" w:hAnsi="Arial" w:cs="Arial"/>
          <w:b/>
          <w:spacing w:val="-1"/>
          <w:sz w:val="17"/>
          <w:szCs w:val="17"/>
        </w:rPr>
        <w:t>Principales Reglas de Registro y Valoración del Patrimonio (Elementos Generales)</w:t>
      </w:r>
      <w:r w:rsidRPr="00F50AC7">
        <w:rPr>
          <w:rFonts w:ascii="Arial" w:eastAsia="Calibri" w:hAnsi="Arial" w:cs="Arial"/>
          <w:spacing w:val="-1"/>
          <w:sz w:val="17"/>
          <w:szCs w:val="17"/>
        </w:rPr>
        <w:t>” así como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ambas emitidas por el CONAC, tomando como base de medición para la elaboración de los estados financieros el costo histórico, dado que es el monto pagado de efectivo o equivalentes por un activo o servicio al momento de su adquisición.</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lo refer</w:t>
      </w:r>
      <w:r>
        <w:rPr>
          <w:rFonts w:ascii="Arial" w:eastAsia="Calibri" w:hAnsi="Arial" w:cs="Arial"/>
          <w:spacing w:val="-1"/>
          <w:sz w:val="17"/>
          <w:szCs w:val="17"/>
        </w:rPr>
        <w:t>ente a los postulados básicos, é</w:t>
      </w:r>
      <w:r w:rsidRPr="00F50AC7">
        <w:rPr>
          <w:rFonts w:ascii="Arial" w:eastAsia="Calibri" w:hAnsi="Arial" w:cs="Arial"/>
          <w:spacing w:val="-1"/>
          <w:sz w:val="17"/>
          <w:szCs w:val="17"/>
        </w:rPr>
        <w:t>stos han sido el sustento técnico del registro de las operaciones, la elaboración y presentación de los estados financieros, con la finalidad de uniformar los métodos, procedimientos y prácticas contables, que dan sustento a la configuración del Sistema de Contabilidad Gubernamental.</w:t>
      </w:r>
    </w:p>
    <w:p w:rsidR="00FE41FE"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 xml:space="preserve">Para el caso </w:t>
      </w:r>
      <w:r w:rsidRPr="003E1E44">
        <w:rPr>
          <w:rFonts w:ascii="Arial" w:eastAsia="Calibri" w:hAnsi="Arial" w:cs="Arial"/>
          <w:spacing w:val="-1"/>
          <w:sz w:val="17"/>
          <w:szCs w:val="17"/>
        </w:rPr>
        <w:t>del presente Informe</w:t>
      </w:r>
      <w:r>
        <w:rPr>
          <w:rFonts w:ascii="Arial" w:eastAsia="Calibri" w:hAnsi="Arial" w:cs="Arial"/>
          <w:spacing w:val="-1"/>
          <w:sz w:val="17"/>
          <w:szCs w:val="17"/>
        </w:rPr>
        <w:t xml:space="preserve"> de</w:t>
      </w:r>
      <w:r w:rsidR="006C122E" w:rsidRPr="00F50AC7">
        <w:rPr>
          <w:rFonts w:ascii="Arial" w:eastAsia="Calibri" w:hAnsi="Arial" w:cs="Arial"/>
          <w:spacing w:val="-1"/>
          <w:sz w:val="17"/>
          <w:szCs w:val="17"/>
        </w:rPr>
        <w:t>l</w:t>
      </w:r>
      <w:r w:rsidR="006C122E">
        <w:rPr>
          <w:rFonts w:ascii="Arial" w:eastAsia="Calibri" w:hAnsi="Arial" w:cs="Arial"/>
          <w:spacing w:val="-1"/>
          <w:sz w:val="17"/>
          <w:szCs w:val="17"/>
        </w:rPr>
        <w:t xml:space="preserve"> </w:t>
      </w:r>
      <w:r w:rsidR="0062320E">
        <w:rPr>
          <w:rFonts w:ascii="Arial" w:eastAsia="Calibri" w:hAnsi="Arial" w:cs="Arial"/>
          <w:spacing w:val="-1"/>
          <w:sz w:val="17"/>
          <w:szCs w:val="17"/>
        </w:rPr>
        <w:t>ÓRGANOS AUTÓNOMOS DEL ESTADO DE QUERÉTARO</w:t>
      </w:r>
      <w:r w:rsidRPr="00F50AC7">
        <w:rPr>
          <w:rFonts w:ascii="Arial" w:eastAsia="Calibri" w:hAnsi="Arial" w:cs="Arial"/>
          <w:spacing w:val="-1"/>
          <w:sz w:val="17"/>
          <w:szCs w:val="17"/>
        </w:rPr>
        <w:t>, no se ha aplicado alguna Normatividad Supletoria.</w:t>
      </w:r>
    </w:p>
    <w:p w:rsidR="00FE41FE" w:rsidRPr="00A67440" w:rsidRDefault="00FE41FE" w:rsidP="00FE41FE">
      <w:pPr>
        <w:spacing w:before="120" w:after="120" w:line="240" w:lineRule="exact"/>
        <w:jc w:val="both"/>
        <w:rPr>
          <w:rFonts w:ascii="Arial" w:eastAsia="Calibri" w:hAnsi="Arial" w:cs="Arial"/>
          <w:spacing w:val="-1"/>
          <w:sz w:val="17"/>
          <w:szCs w:val="17"/>
        </w:rPr>
      </w:pP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En cuanto a las políticas contables, se comenta lo siguiente:</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Atendiendo a lo estipulado en las “</w:t>
      </w:r>
      <w:r w:rsidRPr="00F50AC7">
        <w:rPr>
          <w:rFonts w:ascii="Arial" w:eastAsia="Calibri" w:hAnsi="Arial" w:cs="Arial"/>
          <w:b/>
          <w:spacing w:val="-1"/>
          <w:sz w:val="17"/>
          <w:szCs w:val="17"/>
        </w:rPr>
        <w:t>Reglas Específicas de Registro y Valoración del Patrimonio</w:t>
      </w:r>
      <w:r w:rsidRPr="00F50AC7">
        <w:rPr>
          <w:rFonts w:ascii="Arial" w:eastAsia="Calibri" w:hAnsi="Arial" w:cs="Arial"/>
          <w:spacing w:val="-1"/>
          <w:sz w:val="17"/>
          <w:szCs w:val="17"/>
        </w:rPr>
        <w:t>”, que refiere a que el Índice Nacional de Precios al Consumidor acumulado durante un periodo de tres años sea igual o superior al 100%, a la fecha de la emisión de</w:t>
      </w:r>
      <w:r>
        <w:rPr>
          <w:rFonts w:ascii="Arial" w:eastAsia="Calibri" w:hAnsi="Arial" w:cs="Arial"/>
          <w:spacing w:val="-1"/>
          <w:sz w:val="17"/>
          <w:szCs w:val="17"/>
        </w:rPr>
        <w:t>l Informe</w:t>
      </w:r>
      <w:r w:rsidRPr="00F50AC7">
        <w:rPr>
          <w:rFonts w:ascii="Arial" w:eastAsia="Calibri" w:hAnsi="Arial" w:cs="Arial"/>
          <w:spacing w:val="-1"/>
          <w:sz w:val="17"/>
          <w:szCs w:val="17"/>
        </w:rPr>
        <w:t>, no ha excedido del tal porcentaje, por lo cual no se ha realizado actualización alguna en ningún rubro del activo, pasivo y hacienda pública.</w:t>
      </w:r>
    </w:p>
    <w:p w:rsidR="00FE41FE" w:rsidRPr="00F50AC7" w:rsidRDefault="006F6DA4"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Asimismo, </w:t>
      </w:r>
      <w:r w:rsidR="00207827">
        <w:rPr>
          <w:rFonts w:ascii="Arial" w:eastAsia="Calibri" w:hAnsi="Arial" w:cs="Arial"/>
          <w:spacing w:val="-1"/>
          <w:sz w:val="17"/>
          <w:szCs w:val="17"/>
        </w:rPr>
        <w:t>l</w:t>
      </w:r>
      <w:r w:rsidR="004A0490">
        <w:rPr>
          <w:rFonts w:ascii="Arial" w:eastAsia="Calibri" w:hAnsi="Arial" w:cs="Arial"/>
          <w:spacing w:val="-1"/>
          <w:sz w:val="17"/>
          <w:szCs w:val="17"/>
        </w:rPr>
        <w:t>os</w:t>
      </w:r>
      <w:r w:rsidR="00207827">
        <w:rPr>
          <w:rFonts w:ascii="Arial" w:eastAsia="Calibri" w:hAnsi="Arial" w:cs="Arial"/>
          <w:spacing w:val="-1"/>
          <w:sz w:val="17"/>
          <w:szCs w:val="17"/>
        </w:rPr>
        <w:t xml:space="preserve"> </w:t>
      </w:r>
      <w:r w:rsidR="0062320E">
        <w:rPr>
          <w:rFonts w:ascii="Arial" w:eastAsia="Calibri" w:hAnsi="Arial" w:cs="Arial"/>
          <w:spacing w:val="-1"/>
          <w:sz w:val="17"/>
          <w:szCs w:val="17"/>
        </w:rPr>
        <w:t>ÓRGANOS AUTÓNOMOS DEL ESTADO DE QUERÉTARO</w:t>
      </w:r>
      <w:r w:rsidR="00FE41FE" w:rsidRPr="00F50AC7">
        <w:rPr>
          <w:rFonts w:ascii="Arial" w:eastAsia="Calibri" w:hAnsi="Arial" w:cs="Arial"/>
          <w:spacing w:val="-1"/>
          <w:sz w:val="17"/>
          <w:szCs w:val="17"/>
        </w:rPr>
        <w:t>, no ha</w:t>
      </w:r>
      <w:r w:rsidR="00411C56">
        <w:rPr>
          <w:rFonts w:ascii="Arial" w:eastAsia="Calibri" w:hAnsi="Arial" w:cs="Arial"/>
          <w:spacing w:val="-1"/>
          <w:sz w:val="17"/>
          <w:szCs w:val="17"/>
        </w:rPr>
        <w:t>n</w:t>
      </w:r>
      <w:r w:rsidR="00FE41FE" w:rsidRPr="00F50AC7">
        <w:rPr>
          <w:rFonts w:ascii="Arial" w:eastAsia="Calibri" w:hAnsi="Arial" w:cs="Arial"/>
          <w:spacing w:val="-1"/>
          <w:sz w:val="17"/>
          <w:szCs w:val="17"/>
        </w:rPr>
        <w:t xml:space="preserve"> efectuado operaciones en el extranjero y no ha tenido efecto alguno en la información financiera gubernamental.</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De la misma manera no existen acciones de Compañías subsidiarias no consolidadas y asociadas. No se tiene una actividad comercial, por lo que no existe Sistema y método de valuación de inventarios y costo de lo vendido.</w:t>
      </w:r>
    </w:p>
    <w:p w:rsidR="00FE41FE" w:rsidRPr="00F50AC7" w:rsidRDefault="00FE41FE" w:rsidP="00FE41FE">
      <w:pPr>
        <w:spacing w:before="120" w:after="120" w:line="240" w:lineRule="exact"/>
        <w:jc w:val="both"/>
        <w:rPr>
          <w:rFonts w:ascii="Arial" w:eastAsia="Calibri" w:hAnsi="Arial" w:cs="Arial"/>
          <w:spacing w:val="-1"/>
          <w:sz w:val="17"/>
          <w:szCs w:val="17"/>
        </w:rPr>
      </w:pPr>
      <w:r w:rsidRPr="00F50AC7">
        <w:rPr>
          <w:rFonts w:ascii="Arial" w:eastAsia="Calibri" w:hAnsi="Arial" w:cs="Arial"/>
          <w:spacing w:val="-1"/>
          <w:sz w:val="17"/>
          <w:szCs w:val="17"/>
        </w:rPr>
        <w:t>Para el efecto que tiene</w:t>
      </w:r>
      <w:r>
        <w:rPr>
          <w:rFonts w:ascii="Arial" w:eastAsia="Calibri" w:hAnsi="Arial" w:cs="Arial"/>
          <w:spacing w:val="-1"/>
          <w:sz w:val="17"/>
          <w:szCs w:val="17"/>
        </w:rPr>
        <w:t xml:space="preserve"> la</w:t>
      </w:r>
      <w:r w:rsidRPr="00F50AC7">
        <w:rPr>
          <w:rFonts w:ascii="Arial" w:eastAsia="Calibri" w:hAnsi="Arial" w:cs="Arial"/>
          <w:spacing w:val="-1"/>
          <w:sz w:val="17"/>
          <w:szCs w:val="17"/>
        </w:rPr>
        <w:t xml:space="preserve">s </w:t>
      </w:r>
      <w:r>
        <w:rPr>
          <w:rFonts w:ascii="Arial" w:eastAsia="Calibri" w:hAnsi="Arial" w:cs="Arial"/>
          <w:spacing w:val="-1"/>
          <w:sz w:val="17"/>
          <w:szCs w:val="17"/>
        </w:rPr>
        <w:t>correccio</w:t>
      </w:r>
      <w:r w:rsidRPr="00F50AC7">
        <w:rPr>
          <w:rFonts w:ascii="Arial" w:eastAsia="Calibri" w:hAnsi="Arial" w:cs="Arial"/>
          <w:spacing w:val="-1"/>
          <w:sz w:val="17"/>
          <w:szCs w:val="17"/>
        </w:rPr>
        <w:t>n</w:t>
      </w:r>
      <w:r>
        <w:rPr>
          <w:rFonts w:ascii="Arial" w:eastAsia="Calibri" w:hAnsi="Arial" w:cs="Arial"/>
          <w:spacing w:val="-1"/>
          <w:sz w:val="17"/>
          <w:szCs w:val="17"/>
        </w:rPr>
        <w:t>es</w:t>
      </w:r>
      <w:r w:rsidRPr="00F50AC7">
        <w:rPr>
          <w:rFonts w:ascii="Arial" w:eastAsia="Calibri" w:hAnsi="Arial" w:cs="Arial"/>
          <w:spacing w:val="-1"/>
          <w:sz w:val="17"/>
          <w:szCs w:val="17"/>
        </w:rPr>
        <w:t xml:space="preserve"> de errores en la información financiera, estos son revelados en las Notas de Desglose, en particular en lo que se observa en las Notas al Estado de Variación en la Hacienda Pública.</w:t>
      </w:r>
    </w:p>
    <w:p w:rsidR="00FE41FE" w:rsidRPr="00D87310" w:rsidRDefault="00FE41FE" w:rsidP="00FE41FE">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Se informa que a lo largo del ejercicio se ha realizado el análisis de la cuenta obras en proceso a tal efecto de presentar el saldo depurado en esta cuenta quedando reflejado el monto de las o</w:t>
      </w:r>
      <w:r w:rsidRPr="00D87310">
        <w:rPr>
          <w:rFonts w:ascii="Arial" w:eastAsia="Calibri" w:hAnsi="Arial" w:cs="Arial"/>
          <w:spacing w:val="-1"/>
          <w:sz w:val="17"/>
          <w:szCs w:val="17"/>
        </w:rPr>
        <w:t>bras que se encuentran en proceso de ser concluidas.</w:t>
      </w:r>
    </w:p>
    <w:p w:rsidR="004D2674" w:rsidRDefault="004D2674">
      <w:pPr>
        <w:rPr>
          <w:rFonts w:ascii="Arial" w:eastAsia="Calibri" w:hAnsi="Arial" w:cs="Arial"/>
          <w:spacing w:val="-1"/>
          <w:sz w:val="17"/>
          <w:szCs w:val="17"/>
        </w:rPr>
      </w:pPr>
      <w:r>
        <w:rPr>
          <w:rFonts w:ascii="Arial" w:eastAsia="Calibri" w:hAnsi="Arial" w:cs="Arial"/>
          <w:spacing w:val="-1"/>
          <w:sz w:val="17"/>
          <w:szCs w:val="17"/>
        </w:rPr>
        <w:br w:type="page"/>
      </w:r>
    </w:p>
    <w:p w:rsidR="00FE41FE" w:rsidRPr="00A67440"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Posición en Moneda Extranjera y Protección por Riesgo Cambiario</w:t>
      </w:r>
    </w:p>
    <w:p w:rsidR="00FE41FE" w:rsidRPr="00A67440"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Se informa que no existen posiciones en Moneda Extranjera.</w:t>
      </w:r>
    </w:p>
    <w:p w:rsidR="00FE41FE" w:rsidRDefault="00FE41FE" w:rsidP="00FE41FE">
      <w:pPr>
        <w:spacing w:before="120" w:after="120" w:line="240" w:lineRule="exact"/>
        <w:jc w:val="both"/>
        <w:rPr>
          <w:rFonts w:ascii="Arial" w:eastAsia="Calibri" w:hAnsi="Arial" w:cs="Arial"/>
          <w:spacing w:val="-1"/>
          <w:sz w:val="17"/>
          <w:szCs w:val="17"/>
        </w:rPr>
      </w:pPr>
    </w:p>
    <w:p w:rsidR="00FE41FE" w:rsidRPr="0010523D" w:rsidRDefault="00FE41FE" w:rsidP="004D2674">
      <w:pPr>
        <w:pStyle w:val="Prrafodelista"/>
        <w:numPr>
          <w:ilvl w:val="0"/>
          <w:numId w:val="14"/>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Para efecto del Estado Analítico del Activo se comenta lo siguiente:</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 la vida útil, porcentajes</w:t>
      </w:r>
      <w:r>
        <w:rPr>
          <w:rFonts w:ascii="Arial" w:eastAsia="Calibri" w:hAnsi="Arial" w:cs="Arial"/>
          <w:spacing w:val="-1"/>
          <w:sz w:val="17"/>
          <w:szCs w:val="17"/>
        </w:rPr>
        <w:t xml:space="preserve"> de depreciación y amortización </w:t>
      </w:r>
      <w:r w:rsidRPr="00DA3F3D">
        <w:rPr>
          <w:rFonts w:ascii="Arial" w:eastAsia="Calibri" w:hAnsi="Arial" w:cs="Arial"/>
          <w:spacing w:val="-1"/>
          <w:sz w:val="17"/>
          <w:szCs w:val="17"/>
        </w:rPr>
        <w:t>de los diferentes tipos de activos no circulantes, se encuentran revelados en las Notas de Desglose, en particular en las Notas al Estado de Situación Financiera, en el apartado “5 Bienes Muebles, Inmuebles e Intangibles”.</w:t>
      </w:r>
    </w:p>
    <w:p w:rsidR="00FE41FE" w:rsidRPr="00DA3F3D" w:rsidRDefault="00FE41FE" w:rsidP="00FE41FE">
      <w:pPr>
        <w:spacing w:before="120" w:after="120" w:line="240" w:lineRule="exact"/>
        <w:jc w:val="both"/>
        <w:rPr>
          <w:rFonts w:ascii="Arial" w:eastAsia="Calibri" w:hAnsi="Arial" w:cs="Arial"/>
          <w:spacing w:val="-1"/>
          <w:sz w:val="17"/>
          <w:szCs w:val="17"/>
        </w:rPr>
      </w:pPr>
      <w:r w:rsidRPr="00DA3F3D">
        <w:rPr>
          <w:rFonts w:ascii="Arial" w:eastAsia="Calibri" w:hAnsi="Arial" w:cs="Arial"/>
          <w:spacing w:val="-1"/>
          <w:sz w:val="17"/>
          <w:szCs w:val="17"/>
        </w:rPr>
        <w:t>En cuanto al Importe de los gastos capitalizados en el ejercicio, tanto financieros como de investigación y desarrollo; Riesgos por tipo de cambio o tipo de interés de las inversiones financieras; Valor activado en el ejercicio de los bienes construidos por la entid</w:t>
      </w:r>
      <w:bookmarkStart w:id="0" w:name="_GoBack"/>
      <w:bookmarkEnd w:id="0"/>
      <w:r w:rsidRPr="00DA3F3D">
        <w:rPr>
          <w:rFonts w:ascii="Arial" w:eastAsia="Calibri" w:hAnsi="Arial" w:cs="Arial"/>
          <w:spacing w:val="-1"/>
          <w:sz w:val="17"/>
          <w:szCs w:val="17"/>
        </w:rPr>
        <w:t>ad; Otras circunstancias de carácter significativo que afecten el activo, tales como bienes en garantía, señalados en embargos, litigios, títulos de inversiones entregados en garantías, baja significativa del valor de inversiones financieras, etc.; Desmantelamiento de Activos, procedimientos, implicaciones, efectos contables; Administración de activos; planeación con el objetivo de que el ente los utilice de manera más efectiva no existe información a revelar.</w:t>
      </w:r>
    </w:p>
    <w:sectPr w:rsidR="00FE41FE" w:rsidRPr="00DA3F3D" w:rsidSect="000C2DE0">
      <w:headerReference w:type="even" r:id="rId14"/>
      <w:headerReference w:type="default" r:id="rId15"/>
      <w:footerReference w:type="even" r:id="rId16"/>
      <w:footerReference w:type="default" r:id="rId17"/>
      <w:type w:val="continuous"/>
      <w:pgSz w:w="15840" w:h="12240" w:orient="landscape" w:code="1"/>
      <w:pgMar w:top="1560" w:right="1418" w:bottom="851" w:left="1134" w:header="851" w:footer="308"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717" w:rsidRDefault="00205717">
      <w:r>
        <w:separator/>
      </w:r>
    </w:p>
  </w:endnote>
  <w:endnote w:type="continuationSeparator" w:id="0">
    <w:p w:rsidR="00205717" w:rsidRDefault="0020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66" w:rsidRPr="00CF00D0" w:rsidRDefault="00A2136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A07CF6">
      <w:rPr>
        <w:rFonts w:ascii="Avenir LT Std 45 Book" w:hAnsi="Avenir LT Std 45 Book" w:cs="Arial"/>
        <w:noProof/>
        <w:color w:val="808080"/>
        <w:szCs w:val="20"/>
      </w:rPr>
      <w:t>20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A07CF6">
      <w:rPr>
        <w:rFonts w:ascii="Avenir LT Std 45 Book" w:hAnsi="Avenir LT Std 45 Book" w:cs="Arial"/>
        <w:noProof/>
        <w:color w:val="808080"/>
        <w:szCs w:val="20"/>
      </w:rPr>
      <w:t>30</w:t>
    </w:r>
    <w:r w:rsidRPr="00CF00D0">
      <w:rPr>
        <w:rFonts w:ascii="Avenir LT Std 45 Book" w:hAnsi="Avenir LT Std 45 Book" w:cs="Arial"/>
        <w:color w:val="808080"/>
        <w:szCs w:val="20"/>
      </w:rPr>
      <w:fldChar w:fldCharType="end"/>
    </w:r>
  </w:p>
  <w:p w:rsidR="00A21366" w:rsidRPr="00813029" w:rsidRDefault="00A21366"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66" w:rsidRPr="00CF00D0" w:rsidRDefault="00A21366"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A07CF6">
      <w:rPr>
        <w:rFonts w:ascii="Avenir LT Std 45 Book" w:hAnsi="Avenir LT Std 45 Book" w:cs="Arial"/>
        <w:noProof/>
        <w:color w:val="808080"/>
        <w:szCs w:val="20"/>
      </w:rPr>
      <w:t>21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A07CF6">
      <w:rPr>
        <w:rFonts w:ascii="Avenir LT Std 45 Book" w:hAnsi="Avenir LT Std 45 Book" w:cs="Arial"/>
        <w:noProof/>
        <w:color w:val="808080"/>
        <w:szCs w:val="20"/>
      </w:rPr>
      <w:t>30</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717" w:rsidRDefault="00205717">
      <w:r>
        <w:separator/>
      </w:r>
    </w:p>
  </w:footnote>
  <w:footnote w:type="continuationSeparator" w:id="0">
    <w:p w:rsidR="00205717" w:rsidRDefault="00205717">
      <w:r>
        <w:continuationSeparator/>
      </w:r>
    </w:p>
  </w:footnote>
  <w:footnote w:id="1">
    <w:p w:rsidR="00A21366" w:rsidRPr="000008C2" w:rsidRDefault="00A21366">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66" w:rsidRPr="002809DB" w:rsidRDefault="00A21366"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366" w:rsidRPr="00CF00D0" w:rsidRDefault="00A2136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21366" w:rsidRPr="00CF00D0" w:rsidRDefault="00A21366"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2019</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366" w:rsidRPr="00CF00D0" w:rsidRDefault="00A21366"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21366" w:rsidRPr="00CF00D0" w:rsidRDefault="00A21366"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Cuenta Pública</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66" w:rsidRPr="00CF00D0" w:rsidRDefault="00A21366" w:rsidP="00823211">
    <w:pPr>
      <w:jc w:val="center"/>
      <w:rPr>
        <w:rFonts w:ascii="Avenir LT Std 45 Book" w:hAnsi="Avenir LT Std 45 Book"/>
        <w:b/>
        <w:color w:val="808080"/>
        <w:sz w:val="20"/>
        <w:szCs w:val="20"/>
      </w:rPr>
    </w:pP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6BD6905B" wp14:editId="216CE04E">
              <wp:simplePos x="0" y="0"/>
              <wp:positionH relativeFrom="margin">
                <wp:align>center</wp:align>
              </wp:positionH>
              <wp:positionV relativeFrom="paragraph">
                <wp:posOffset>319405</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177EA" id="Rectángulo 5" o:spid="_x0000_s1026" style="position:absolute;margin-left:0;margin-top:25.15pt;width:664.8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" fillcolor="#a5a5a5 [3206]" strokecolor="#525252 [1606]" strokeweight="1pt">
              <w10:wrap anchorx="margin"/>
            </v:rect>
          </w:pict>
        </mc:Fallback>
      </mc:AlternateContent>
    </w:r>
    <w:r w:rsidRPr="00AC4ED7">
      <w:rPr>
        <w:rFonts w:ascii="Avenir LT Std 45 Book" w:hAnsi="Avenir LT Std 45 Book" w:cs="Arial"/>
        <w:b/>
        <w:caps/>
        <w:noProof/>
        <w:color w:val="808080"/>
        <w:sz w:val="20"/>
        <w:szCs w:val="20"/>
      </w:rPr>
      <w:t>2.1.1.1.0</w:t>
    </w:r>
    <w:r>
      <w:rPr>
        <w:rFonts w:ascii="Avenir LT Std 45 Book" w:hAnsi="Avenir LT Std 45 Book" w:cs="Arial"/>
        <w:b/>
        <w:caps/>
        <w:noProof/>
        <w:color w:val="808080"/>
        <w:sz w:val="20"/>
        <w:szCs w:val="20"/>
      </w:rPr>
      <w:t xml:space="preserve"> ÓRGANOS AUTÓNOMOS DEL ESTADO DE QUERÉTARO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1">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2">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3">
    <w:nsid w:val="0EBC78DB"/>
    <w:multiLevelType w:val="hybridMultilevel"/>
    <w:tmpl w:val="F2C87D0A"/>
    <w:lvl w:ilvl="0" w:tplc="9FD07BC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7">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5FFD38B2"/>
    <w:multiLevelType w:val="hybridMultilevel"/>
    <w:tmpl w:val="ED3EFCEE"/>
    <w:lvl w:ilvl="0" w:tplc="76D695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0613347"/>
    <w:multiLevelType w:val="hybridMultilevel"/>
    <w:tmpl w:val="26F01694"/>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1">
    <w:nsid w:val="74D43C6E"/>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7"/>
  </w:num>
  <w:num w:numId="5">
    <w:abstractNumId w:val="4"/>
  </w:num>
  <w:num w:numId="6">
    <w:abstractNumId w:val="1"/>
  </w:num>
  <w:num w:numId="7">
    <w:abstractNumId w:val="2"/>
  </w:num>
  <w:num w:numId="8">
    <w:abstractNumId w:val="12"/>
  </w:num>
  <w:num w:numId="9">
    <w:abstractNumId w:val="5"/>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A24"/>
    <w:rsid w:val="000017B6"/>
    <w:rsid w:val="00002652"/>
    <w:rsid w:val="00002971"/>
    <w:rsid w:val="00002AD7"/>
    <w:rsid w:val="00003379"/>
    <w:rsid w:val="0000365A"/>
    <w:rsid w:val="00004B62"/>
    <w:rsid w:val="00005112"/>
    <w:rsid w:val="00005143"/>
    <w:rsid w:val="00005BA1"/>
    <w:rsid w:val="00005BBF"/>
    <w:rsid w:val="0000634E"/>
    <w:rsid w:val="000065BE"/>
    <w:rsid w:val="00007AAC"/>
    <w:rsid w:val="000102CA"/>
    <w:rsid w:val="0001104C"/>
    <w:rsid w:val="000110F0"/>
    <w:rsid w:val="00011178"/>
    <w:rsid w:val="0001159B"/>
    <w:rsid w:val="000119FE"/>
    <w:rsid w:val="0001214E"/>
    <w:rsid w:val="00012BDB"/>
    <w:rsid w:val="00012DB2"/>
    <w:rsid w:val="0001361A"/>
    <w:rsid w:val="00013641"/>
    <w:rsid w:val="00013D14"/>
    <w:rsid w:val="00016A7F"/>
    <w:rsid w:val="000174D5"/>
    <w:rsid w:val="00017ACD"/>
    <w:rsid w:val="0002043D"/>
    <w:rsid w:val="00020562"/>
    <w:rsid w:val="00020A76"/>
    <w:rsid w:val="00020B87"/>
    <w:rsid w:val="00021A85"/>
    <w:rsid w:val="00024517"/>
    <w:rsid w:val="000254B8"/>
    <w:rsid w:val="00026019"/>
    <w:rsid w:val="00026B8C"/>
    <w:rsid w:val="000331A9"/>
    <w:rsid w:val="000337D3"/>
    <w:rsid w:val="000340A5"/>
    <w:rsid w:val="0003453F"/>
    <w:rsid w:val="00034C2D"/>
    <w:rsid w:val="00035026"/>
    <w:rsid w:val="0003505B"/>
    <w:rsid w:val="000352FF"/>
    <w:rsid w:val="00040AA9"/>
    <w:rsid w:val="000412BA"/>
    <w:rsid w:val="00041BED"/>
    <w:rsid w:val="00042E9B"/>
    <w:rsid w:val="00043012"/>
    <w:rsid w:val="0004490E"/>
    <w:rsid w:val="0004595A"/>
    <w:rsid w:val="00046A9C"/>
    <w:rsid w:val="00050D0B"/>
    <w:rsid w:val="00052BAF"/>
    <w:rsid w:val="00054214"/>
    <w:rsid w:val="000545B0"/>
    <w:rsid w:val="000556E4"/>
    <w:rsid w:val="00056302"/>
    <w:rsid w:val="0005667D"/>
    <w:rsid w:val="00056934"/>
    <w:rsid w:val="00060302"/>
    <w:rsid w:val="00061C12"/>
    <w:rsid w:val="00061CB6"/>
    <w:rsid w:val="00062243"/>
    <w:rsid w:val="00062DAE"/>
    <w:rsid w:val="00062E72"/>
    <w:rsid w:val="00063DF1"/>
    <w:rsid w:val="00063EA6"/>
    <w:rsid w:val="0006463E"/>
    <w:rsid w:val="00064969"/>
    <w:rsid w:val="0006529B"/>
    <w:rsid w:val="0006650E"/>
    <w:rsid w:val="000665BD"/>
    <w:rsid w:val="000674A8"/>
    <w:rsid w:val="00067BB4"/>
    <w:rsid w:val="00071233"/>
    <w:rsid w:val="00071FAC"/>
    <w:rsid w:val="00072CB2"/>
    <w:rsid w:val="00072E8E"/>
    <w:rsid w:val="00072F8B"/>
    <w:rsid w:val="00074B74"/>
    <w:rsid w:val="00075E8D"/>
    <w:rsid w:val="000767E5"/>
    <w:rsid w:val="0007770A"/>
    <w:rsid w:val="00077B39"/>
    <w:rsid w:val="00077BF0"/>
    <w:rsid w:val="00080148"/>
    <w:rsid w:val="00080796"/>
    <w:rsid w:val="00080A73"/>
    <w:rsid w:val="00080CBB"/>
    <w:rsid w:val="00080E00"/>
    <w:rsid w:val="00081131"/>
    <w:rsid w:val="0008166A"/>
    <w:rsid w:val="00082348"/>
    <w:rsid w:val="00082C24"/>
    <w:rsid w:val="00082EEE"/>
    <w:rsid w:val="00083410"/>
    <w:rsid w:val="0008362C"/>
    <w:rsid w:val="000840A2"/>
    <w:rsid w:val="00090DE7"/>
    <w:rsid w:val="000912A5"/>
    <w:rsid w:val="00091AD4"/>
    <w:rsid w:val="00091D44"/>
    <w:rsid w:val="000927AA"/>
    <w:rsid w:val="00092DB3"/>
    <w:rsid w:val="00093302"/>
    <w:rsid w:val="000940D4"/>
    <w:rsid w:val="00097DDA"/>
    <w:rsid w:val="000A003D"/>
    <w:rsid w:val="000A04D9"/>
    <w:rsid w:val="000A0712"/>
    <w:rsid w:val="000A1CD9"/>
    <w:rsid w:val="000A204D"/>
    <w:rsid w:val="000A2512"/>
    <w:rsid w:val="000A39DC"/>
    <w:rsid w:val="000A4096"/>
    <w:rsid w:val="000A5319"/>
    <w:rsid w:val="000A66A2"/>
    <w:rsid w:val="000A6857"/>
    <w:rsid w:val="000A6C91"/>
    <w:rsid w:val="000A6EDA"/>
    <w:rsid w:val="000B0333"/>
    <w:rsid w:val="000B09F9"/>
    <w:rsid w:val="000B0AAA"/>
    <w:rsid w:val="000B13A1"/>
    <w:rsid w:val="000B15B5"/>
    <w:rsid w:val="000B1EEB"/>
    <w:rsid w:val="000B2076"/>
    <w:rsid w:val="000B2E80"/>
    <w:rsid w:val="000B4B11"/>
    <w:rsid w:val="000B4BC8"/>
    <w:rsid w:val="000B503E"/>
    <w:rsid w:val="000B5B5B"/>
    <w:rsid w:val="000B6CE6"/>
    <w:rsid w:val="000B6CF1"/>
    <w:rsid w:val="000B6D04"/>
    <w:rsid w:val="000B78FA"/>
    <w:rsid w:val="000C00FF"/>
    <w:rsid w:val="000C0C81"/>
    <w:rsid w:val="000C2C0C"/>
    <w:rsid w:val="000C2DE0"/>
    <w:rsid w:val="000C472B"/>
    <w:rsid w:val="000C634E"/>
    <w:rsid w:val="000C6384"/>
    <w:rsid w:val="000C65BA"/>
    <w:rsid w:val="000C69D3"/>
    <w:rsid w:val="000C6B30"/>
    <w:rsid w:val="000C6BEB"/>
    <w:rsid w:val="000C785E"/>
    <w:rsid w:val="000D0770"/>
    <w:rsid w:val="000D1C10"/>
    <w:rsid w:val="000D2B07"/>
    <w:rsid w:val="000D2B10"/>
    <w:rsid w:val="000D5387"/>
    <w:rsid w:val="000D6790"/>
    <w:rsid w:val="000D6A6C"/>
    <w:rsid w:val="000E00FC"/>
    <w:rsid w:val="000E042B"/>
    <w:rsid w:val="000E08A8"/>
    <w:rsid w:val="000E0E94"/>
    <w:rsid w:val="000E15DF"/>
    <w:rsid w:val="000E2289"/>
    <w:rsid w:val="000E22DA"/>
    <w:rsid w:val="000E2BF9"/>
    <w:rsid w:val="000E381F"/>
    <w:rsid w:val="000E4D88"/>
    <w:rsid w:val="000E546D"/>
    <w:rsid w:val="000E6CDF"/>
    <w:rsid w:val="000E716C"/>
    <w:rsid w:val="000E74EF"/>
    <w:rsid w:val="000E77D4"/>
    <w:rsid w:val="000F12DA"/>
    <w:rsid w:val="000F1797"/>
    <w:rsid w:val="000F17A5"/>
    <w:rsid w:val="000F2A98"/>
    <w:rsid w:val="000F2D49"/>
    <w:rsid w:val="000F419C"/>
    <w:rsid w:val="000F44F2"/>
    <w:rsid w:val="000F6F60"/>
    <w:rsid w:val="000F72A0"/>
    <w:rsid w:val="000F7341"/>
    <w:rsid w:val="000F74C6"/>
    <w:rsid w:val="000F7647"/>
    <w:rsid w:val="000F79B7"/>
    <w:rsid w:val="001000AE"/>
    <w:rsid w:val="00100444"/>
    <w:rsid w:val="00101978"/>
    <w:rsid w:val="00102FF2"/>
    <w:rsid w:val="001042D7"/>
    <w:rsid w:val="001045F8"/>
    <w:rsid w:val="0010523D"/>
    <w:rsid w:val="0010568A"/>
    <w:rsid w:val="001059EB"/>
    <w:rsid w:val="001064F1"/>
    <w:rsid w:val="00106A13"/>
    <w:rsid w:val="00111281"/>
    <w:rsid w:val="0011225D"/>
    <w:rsid w:val="00112BBE"/>
    <w:rsid w:val="00114B14"/>
    <w:rsid w:val="00115256"/>
    <w:rsid w:val="00115AA7"/>
    <w:rsid w:val="00115B7F"/>
    <w:rsid w:val="001163C1"/>
    <w:rsid w:val="00116F9D"/>
    <w:rsid w:val="00121647"/>
    <w:rsid w:val="00122060"/>
    <w:rsid w:val="00122818"/>
    <w:rsid w:val="00122F38"/>
    <w:rsid w:val="001235F7"/>
    <w:rsid w:val="00124B1D"/>
    <w:rsid w:val="00124E6A"/>
    <w:rsid w:val="00125540"/>
    <w:rsid w:val="001266F2"/>
    <w:rsid w:val="00126FF3"/>
    <w:rsid w:val="001273BF"/>
    <w:rsid w:val="00131D99"/>
    <w:rsid w:val="001336DB"/>
    <w:rsid w:val="00135637"/>
    <w:rsid w:val="00135733"/>
    <w:rsid w:val="0013607B"/>
    <w:rsid w:val="001364C8"/>
    <w:rsid w:val="0013653C"/>
    <w:rsid w:val="00137D20"/>
    <w:rsid w:val="0014089D"/>
    <w:rsid w:val="001411A8"/>
    <w:rsid w:val="00141348"/>
    <w:rsid w:val="001417BB"/>
    <w:rsid w:val="0014285E"/>
    <w:rsid w:val="001439B4"/>
    <w:rsid w:val="001441B9"/>
    <w:rsid w:val="00145CB3"/>
    <w:rsid w:val="00145DBE"/>
    <w:rsid w:val="00146909"/>
    <w:rsid w:val="00146A6D"/>
    <w:rsid w:val="00146FDB"/>
    <w:rsid w:val="00147069"/>
    <w:rsid w:val="001479F4"/>
    <w:rsid w:val="00150A77"/>
    <w:rsid w:val="00150FB0"/>
    <w:rsid w:val="0015227C"/>
    <w:rsid w:val="0015343C"/>
    <w:rsid w:val="00154562"/>
    <w:rsid w:val="00155B42"/>
    <w:rsid w:val="00155FC3"/>
    <w:rsid w:val="0015640F"/>
    <w:rsid w:val="001566C3"/>
    <w:rsid w:val="001604B7"/>
    <w:rsid w:val="0016150C"/>
    <w:rsid w:val="0016196C"/>
    <w:rsid w:val="0016265A"/>
    <w:rsid w:val="00163119"/>
    <w:rsid w:val="00163185"/>
    <w:rsid w:val="0016374B"/>
    <w:rsid w:val="00163875"/>
    <w:rsid w:val="0016437E"/>
    <w:rsid w:val="00167DCA"/>
    <w:rsid w:val="0017137D"/>
    <w:rsid w:val="001720CF"/>
    <w:rsid w:val="001728A2"/>
    <w:rsid w:val="001749D4"/>
    <w:rsid w:val="00175B6D"/>
    <w:rsid w:val="00175C25"/>
    <w:rsid w:val="001772F2"/>
    <w:rsid w:val="00180019"/>
    <w:rsid w:val="001800C2"/>
    <w:rsid w:val="00180288"/>
    <w:rsid w:val="00180430"/>
    <w:rsid w:val="001819E5"/>
    <w:rsid w:val="00182C0E"/>
    <w:rsid w:val="00182DD5"/>
    <w:rsid w:val="001838C3"/>
    <w:rsid w:val="00186BCA"/>
    <w:rsid w:val="00186E15"/>
    <w:rsid w:val="00187595"/>
    <w:rsid w:val="0018790A"/>
    <w:rsid w:val="00187971"/>
    <w:rsid w:val="00190350"/>
    <w:rsid w:val="0019167C"/>
    <w:rsid w:val="00192420"/>
    <w:rsid w:val="00192880"/>
    <w:rsid w:val="00192F45"/>
    <w:rsid w:val="00193FF0"/>
    <w:rsid w:val="00194ABE"/>
    <w:rsid w:val="00195866"/>
    <w:rsid w:val="00195F8A"/>
    <w:rsid w:val="0019606A"/>
    <w:rsid w:val="00196215"/>
    <w:rsid w:val="00196E7A"/>
    <w:rsid w:val="0019722F"/>
    <w:rsid w:val="001979E6"/>
    <w:rsid w:val="001A0060"/>
    <w:rsid w:val="001A1EFE"/>
    <w:rsid w:val="001A2717"/>
    <w:rsid w:val="001A3042"/>
    <w:rsid w:val="001A3EA9"/>
    <w:rsid w:val="001A54B2"/>
    <w:rsid w:val="001A6B95"/>
    <w:rsid w:val="001A7A7F"/>
    <w:rsid w:val="001A7C76"/>
    <w:rsid w:val="001B007B"/>
    <w:rsid w:val="001B2073"/>
    <w:rsid w:val="001B2EE0"/>
    <w:rsid w:val="001B31A7"/>
    <w:rsid w:val="001B3BC0"/>
    <w:rsid w:val="001B49BF"/>
    <w:rsid w:val="001B5113"/>
    <w:rsid w:val="001B59FD"/>
    <w:rsid w:val="001B5FF6"/>
    <w:rsid w:val="001B6B15"/>
    <w:rsid w:val="001B7767"/>
    <w:rsid w:val="001B7E6F"/>
    <w:rsid w:val="001C123D"/>
    <w:rsid w:val="001C1C28"/>
    <w:rsid w:val="001C2566"/>
    <w:rsid w:val="001C3A28"/>
    <w:rsid w:val="001C4948"/>
    <w:rsid w:val="001C4C8E"/>
    <w:rsid w:val="001C4EC6"/>
    <w:rsid w:val="001C5B7A"/>
    <w:rsid w:val="001C6C60"/>
    <w:rsid w:val="001C7381"/>
    <w:rsid w:val="001D0243"/>
    <w:rsid w:val="001D065E"/>
    <w:rsid w:val="001D12B4"/>
    <w:rsid w:val="001D1E5F"/>
    <w:rsid w:val="001D24E0"/>
    <w:rsid w:val="001D2914"/>
    <w:rsid w:val="001D2A70"/>
    <w:rsid w:val="001D3327"/>
    <w:rsid w:val="001D33F2"/>
    <w:rsid w:val="001D4900"/>
    <w:rsid w:val="001D49E1"/>
    <w:rsid w:val="001D7872"/>
    <w:rsid w:val="001E05DF"/>
    <w:rsid w:val="001E1CB3"/>
    <w:rsid w:val="001E25F1"/>
    <w:rsid w:val="001E31A8"/>
    <w:rsid w:val="001E4CA5"/>
    <w:rsid w:val="001E4FC7"/>
    <w:rsid w:val="001E50BC"/>
    <w:rsid w:val="001E58AF"/>
    <w:rsid w:val="001E5A70"/>
    <w:rsid w:val="001E6C3B"/>
    <w:rsid w:val="001E756A"/>
    <w:rsid w:val="001E76A0"/>
    <w:rsid w:val="001E79D9"/>
    <w:rsid w:val="001E7A8F"/>
    <w:rsid w:val="001F1404"/>
    <w:rsid w:val="001F1C10"/>
    <w:rsid w:val="001F1EBB"/>
    <w:rsid w:val="001F2B6F"/>
    <w:rsid w:val="001F3094"/>
    <w:rsid w:val="001F326D"/>
    <w:rsid w:val="001F3FD7"/>
    <w:rsid w:val="001F4B48"/>
    <w:rsid w:val="001F6721"/>
    <w:rsid w:val="001F7CB1"/>
    <w:rsid w:val="0020025A"/>
    <w:rsid w:val="00200A51"/>
    <w:rsid w:val="00200F8E"/>
    <w:rsid w:val="002015DB"/>
    <w:rsid w:val="00201E62"/>
    <w:rsid w:val="002020EC"/>
    <w:rsid w:val="00203925"/>
    <w:rsid w:val="00203F78"/>
    <w:rsid w:val="00204D21"/>
    <w:rsid w:val="00205485"/>
    <w:rsid w:val="00205717"/>
    <w:rsid w:val="00206284"/>
    <w:rsid w:val="00206505"/>
    <w:rsid w:val="0020781E"/>
    <w:rsid w:val="00207827"/>
    <w:rsid w:val="00207EF6"/>
    <w:rsid w:val="002107EE"/>
    <w:rsid w:val="00211037"/>
    <w:rsid w:val="00211508"/>
    <w:rsid w:val="00211ED8"/>
    <w:rsid w:val="002129B5"/>
    <w:rsid w:val="00214B4E"/>
    <w:rsid w:val="002151B4"/>
    <w:rsid w:val="00215B81"/>
    <w:rsid w:val="00215D0E"/>
    <w:rsid w:val="002164E0"/>
    <w:rsid w:val="002165BD"/>
    <w:rsid w:val="00216680"/>
    <w:rsid w:val="00217211"/>
    <w:rsid w:val="0022073E"/>
    <w:rsid w:val="00220B39"/>
    <w:rsid w:val="00220CB2"/>
    <w:rsid w:val="00220F3A"/>
    <w:rsid w:val="00221280"/>
    <w:rsid w:val="0022168C"/>
    <w:rsid w:val="002218F0"/>
    <w:rsid w:val="00222005"/>
    <w:rsid w:val="002231E1"/>
    <w:rsid w:val="00224C36"/>
    <w:rsid w:val="002251DE"/>
    <w:rsid w:val="00225492"/>
    <w:rsid w:val="00226B9F"/>
    <w:rsid w:val="00226BB0"/>
    <w:rsid w:val="00227DFB"/>
    <w:rsid w:val="00227DFE"/>
    <w:rsid w:val="00227F86"/>
    <w:rsid w:val="00230158"/>
    <w:rsid w:val="002302DE"/>
    <w:rsid w:val="00232A23"/>
    <w:rsid w:val="00232A52"/>
    <w:rsid w:val="002342BD"/>
    <w:rsid w:val="002343EC"/>
    <w:rsid w:val="00234CFE"/>
    <w:rsid w:val="002352A3"/>
    <w:rsid w:val="002366A1"/>
    <w:rsid w:val="00236CF7"/>
    <w:rsid w:val="00240BB4"/>
    <w:rsid w:val="00241785"/>
    <w:rsid w:val="00241A7E"/>
    <w:rsid w:val="00242B10"/>
    <w:rsid w:val="00242C39"/>
    <w:rsid w:val="00242F62"/>
    <w:rsid w:val="00244436"/>
    <w:rsid w:val="00245E5E"/>
    <w:rsid w:val="00246D94"/>
    <w:rsid w:val="0024708F"/>
    <w:rsid w:val="002470B0"/>
    <w:rsid w:val="00250B7B"/>
    <w:rsid w:val="00250DEE"/>
    <w:rsid w:val="0025145F"/>
    <w:rsid w:val="00251646"/>
    <w:rsid w:val="002518AB"/>
    <w:rsid w:val="002520CD"/>
    <w:rsid w:val="00252AD1"/>
    <w:rsid w:val="00252F2E"/>
    <w:rsid w:val="00252FCA"/>
    <w:rsid w:val="00253096"/>
    <w:rsid w:val="002533F7"/>
    <w:rsid w:val="00253F02"/>
    <w:rsid w:val="00254118"/>
    <w:rsid w:val="002543BF"/>
    <w:rsid w:val="00255338"/>
    <w:rsid w:val="002561E9"/>
    <w:rsid w:val="00256C7C"/>
    <w:rsid w:val="00260BA7"/>
    <w:rsid w:val="0026307A"/>
    <w:rsid w:val="00263BCB"/>
    <w:rsid w:val="002640B1"/>
    <w:rsid w:val="0026424A"/>
    <w:rsid w:val="002642BF"/>
    <w:rsid w:val="00264C81"/>
    <w:rsid w:val="00265446"/>
    <w:rsid w:val="00265933"/>
    <w:rsid w:val="0026660B"/>
    <w:rsid w:val="0026735E"/>
    <w:rsid w:val="002673C5"/>
    <w:rsid w:val="00267AF9"/>
    <w:rsid w:val="0027121D"/>
    <w:rsid w:val="0027160A"/>
    <w:rsid w:val="002723B2"/>
    <w:rsid w:val="002732AD"/>
    <w:rsid w:val="00273FF7"/>
    <w:rsid w:val="002746C5"/>
    <w:rsid w:val="002746E2"/>
    <w:rsid w:val="00275FC6"/>
    <w:rsid w:val="002772ED"/>
    <w:rsid w:val="002773E2"/>
    <w:rsid w:val="00277C7D"/>
    <w:rsid w:val="002809DB"/>
    <w:rsid w:val="00281841"/>
    <w:rsid w:val="00281FCC"/>
    <w:rsid w:val="00282158"/>
    <w:rsid w:val="0028373B"/>
    <w:rsid w:val="00286011"/>
    <w:rsid w:val="002864C0"/>
    <w:rsid w:val="00286927"/>
    <w:rsid w:val="00287B02"/>
    <w:rsid w:val="00287D39"/>
    <w:rsid w:val="00290866"/>
    <w:rsid w:val="00290A1E"/>
    <w:rsid w:val="002912B2"/>
    <w:rsid w:val="002914B5"/>
    <w:rsid w:val="002917C4"/>
    <w:rsid w:val="002917EF"/>
    <w:rsid w:val="00292137"/>
    <w:rsid w:val="002927B2"/>
    <w:rsid w:val="00295285"/>
    <w:rsid w:val="00295733"/>
    <w:rsid w:val="00295E86"/>
    <w:rsid w:val="00296C04"/>
    <w:rsid w:val="002A0DEA"/>
    <w:rsid w:val="002A0EB0"/>
    <w:rsid w:val="002A13AC"/>
    <w:rsid w:val="002A244F"/>
    <w:rsid w:val="002A2B9C"/>
    <w:rsid w:val="002A4488"/>
    <w:rsid w:val="002A4762"/>
    <w:rsid w:val="002A58E0"/>
    <w:rsid w:val="002A58F7"/>
    <w:rsid w:val="002A622C"/>
    <w:rsid w:val="002A78B5"/>
    <w:rsid w:val="002B078D"/>
    <w:rsid w:val="002B0822"/>
    <w:rsid w:val="002B0CD2"/>
    <w:rsid w:val="002B305E"/>
    <w:rsid w:val="002B35CF"/>
    <w:rsid w:val="002B4C24"/>
    <w:rsid w:val="002B581C"/>
    <w:rsid w:val="002B5A44"/>
    <w:rsid w:val="002B63DD"/>
    <w:rsid w:val="002B69BD"/>
    <w:rsid w:val="002B6D11"/>
    <w:rsid w:val="002B6D45"/>
    <w:rsid w:val="002B7EEF"/>
    <w:rsid w:val="002B7F42"/>
    <w:rsid w:val="002C05A9"/>
    <w:rsid w:val="002C11BF"/>
    <w:rsid w:val="002C326D"/>
    <w:rsid w:val="002C5E34"/>
    <w:rsid w:val="002C5FF5"/>
    <w:rsid w:val="002C6A1C"/>
    <w:rsid w:val="002C6C28"/>
    <w:rsid w:val="002C6F14"/>
    <w:rsid w:val="002C780F"/>
    <w:rsid w:val="002D004F"/>
    <w:rsid w:val="002D01C0"/>
    <w:rsid w:val="002D048E"/>
    <w:rsid w:val="002D073F"/>
    <w:rsid w:val="002D07E1"/>
    <w:rsid w:val="002D09F5"/>
    <w:rsid w:val="002D0D0E"/>
    <w:rsid w:val="002D175D"/>
    <w:rsid w:val="002D1921"/>
    <w:rsid w:val="002D19B9"/>
    <w:rsid w:val="002D1F9D"/>
    <w:rsid w:val="002D275F"/>
    <w:rsid w:val="002D2D06"/>
    <w:rsid w:val="002D30AE"/>
    <w:rsid w:val="002D337D"/>
    <w:rsid w:val="002D4E67"/>
    <w:rsid w:val="002D539F"/>
    <w:rsid w:val="002D567A"/>
    <w:rsid w:val="002D582A"/>
    <w:rsid w:val="002D70DA"/>
    <w:rsid w:val="002E2741"/>
    <w:rsid w:val="002E350B"/>
    <w:rsid w:val="002E3F8E"/>
    <w:rsid w:val="002E5A45"/>
    <w:rsid w:val="002E627B"/>
    <w:rsid w:val="002E6460"/>
    <w:rsid w:val="002E7C39"/>
    <w:rsid w:val="002F0F48"/>
    <w:rsid w:val="002F1704"/>
    <w:rsid w:val="002F3A90"/>
    <w:rsid w:val="002F4627"/>
    <w:rsid w:val="002F6A33"/>
    <w:rsid w:val="002F6FB1"/>
    <w:rsid w:val="002F7886"/>
    <w:rsid w:val="002F7E0B"/>
    <w:rsid w:val="00300909"/>
    <w:rsid w:val="00302481"/>
    <w:rsid w:val="00302600"/>
    <w:rsid w:val="00302E16"/>
    <w:rsid w:val="00302E24"/>
    <w:rsid w:val="003033A3"/>
    <w:rsid w:val="003035C8"/>
    <w:rsid w:val="003040EB"/>
    <w:rsid w:val="00304BC2"/>
    <w:rsid w:val="003054EB"/>
    <w:rsid w:val="00305F95"/>
    <w:rsid w:val="0030750A"/>
    <w:rsid w:val="00307A9B"/>
    <w:rsid w:val="00307CCF"/>
    <w:rsid w:val="00307FA8"/>
    <w:rsid w:val="003162BC"/>
    <w:rsid w:val="0031662D"/>
    <w:rsid w:val="00316A2A"/>
    <w:rsid w:val="0031781D"/>
    <w:rsid w:val="003201EB"/>
    <w:rsid w:val="00320778"/>
    <w:rsid w:val="00321B17"/>
    <w:rsid w:val="00322B3C"/>
    <w:rsid w:val="00322E1D"/>
    <w:rsid w:val="00323879"/>
    <w:rsid w:val="00324554"/>
    <w:rsid w:val="00324BC4"/>
    <w:rsid w:val="00326C76"/>
    <w:rsid w:val="00326F1D"/>
    <w:rsid w:val="00327755"/>
    <w:rsid w:val="0033017E"/>
    <w:rsid w:val="0033096D"/>
    <w:rsid w:val="00331133"/>
    <w:rsid w:val="00331243"/>
    <w:rsid w:val="0033302B"/>
    <w:rsid w:val="00335483"/>
    <w:rsid w:val="00335F9C"/>
    <w:rsid w:val="00336528"/>
    <w:rsid w:val="00336A72"/>
    <w:rsid w:val="00337C3F"/>
    <w:rsid w:val="00337FDA"/>
    <w:rsid w:val="00340812"/>
    <w:rsid w:val="00340D63"/>
    <w:rsid w:val="00342D65"/>
    <w:rsid w:val="00342EAC"/>
    <w:rsid w:val="00343C0E"/>
    <w:rsid w:val="00344433"/>
    <w:rsid w:val="003448EC"/>
    <w:rsid w:val="00345E42"/>
    <w:rsid w:val="00346055"/>
    <w:rsid w:val="00346605"/>
    <w:rsid w:val="00346748"/>
    <w:rsid w:val="00346AA5"/>
    <w:rsid w:val="003474DB"/>
    <w:rsid w:val="003511F5"/>
    <w:rsid w:val="003515C3"/>
    <w:rsid w:val="00351CE0"/>
    <w:rsid w:val="00352675"/>
    <w:rsid w:val="00353672"/>
    <w:rsid w:val="00353E1D"/>
    <w:rsid w:val="003556AE"/>
    <w:rsid w:val="003560BA"/>
    <w:rsid w:val="00357944"/>
    <w:rsid w:val="00357BCC"/>
    <w:rsid w:val="0036144D"/>
    <w:rsid w:val="00361475"/>
    <w:rsid w:val="003617C9"/>
    <w:rsid w:val="00362B5E"/>
    <w:rsid w:val="00363026"/>
    <w:rsid w:val="003638B7"/>
    <w:rsid w:val="00364153"/>
    <w:rsid w:val="003645A3"/>
    <w:rsid w:val="00365269"/>
    <w:rsid w:val="003652FF"/>
    <w:rsid w:val="003667D6"/>
    <w:rsid w:val="00367360"/>
    <w:rsid w:val="00367978"/>
    <w:rsid w:val="00367BC4"/>
    <w:rsid w:val="003708EA"/>
    <w:rsid w:val="00370CEA"/>
    <w:rsid w:val="00371987"/>
    <w:rsid w:val="0037217E"/>
    <w:rsid w:val="00372E51"/>
    <w:rsid w:val="0037305C"/>
    <w:rsid w:val="00375B3F"/>
    <w:rsid w:val="0037658D"/>
    <w:rsid w:val="0037681C"/>
    <w:rsid w:val="00376EDA"/>
    <w:rsid w:val="0037720F"/>
    <w:rsid w:val="0037725B"/>
    <w:rsid w:val="003777A2"/>
    <w:rsid w:val="003779D7"/>
    <w:rsid w:val="00381DF8"/>
    <w:rsid w:val="00382EB4"/>
    <w:rsid w:val="0038439D"/>
    <w:rsid w:val="0038506C"/>
    <w:rsid w:val="00385B39"/>
    <w:rsid w:val="00386AC3"/>
    <w:rsid w:val="0039020E"/>
    <w:rsid w:val="00391374"/>
    <w:rsid w:val="00392134"/>
    <w:rsid w:val="003942F1"/>
    <w:rsid w:val="00394347"/>
    <w:rsid w:val="003949C9"/>
    <w:rsid w:val="0039655C"/>
    <w:rsid w:val="003977E2"/>
    <w:rsid w:val="003A00D3"/>
    <w:rsid w:val="003A0374"/>
    <w:rsid w:val="003A0AB6"/>
    <w:rsid w:val="003A2688"/>
    <w:rsid w:val="003A2790"/>
    <w:rsid w:val="003A4D24"/>
    <w:rsid w:val="003A517C"/>
    <w:rsid w:val="003A59A7"/>
    <w:rsid w:val="003A78D7"/>
    <w:rsid w:val="003A7B97"/>
    <w:rsid w:val="003A7E4D"/>
    <w:rsid w:val="003B1DD2"/>
    <w:rsid w:val="003B3FFD"/>
    <w:rsid w:val="003B40C6"/>
    <w:rsid w:val="003B4352"/>
    <w:rsid w:val="003B4E51"/>
    <w:rsid w:val="003B5158"/>
    <w:rsid w:val="003B57E5"/>
    <w:rsid w:val="003B5C50"/>
    <w:rsid w:val="003B5D25"/>
    <w:rsid w:val="003B6069"/>
    <w:rsid w:val="003B6085"/>
    <w:rsid w:val="003B73FB"/>
    <w:rsid w:val="003B7496"/>
    <w:rsid w:val="003B75E0"/>
    <w:rsid w:val="003B7CB9"/>
    <w:rsid w:val="003C0BDA"/>
    <w:rsid w:val="003C1765"/>
    <w:rsid w:val="003C2087"/>
    <w:rsid w:val="003C2199"/>
    <w:rsid w:val="003C22D2"/>
    <w:rsid w:val="003C24B5"/>
    <w:rsid w:val="003C4CBC"/>
    <w:rsid w:val="003C5A2A"/>
    <w:rsid w:val="003C5B1B"/>
    <w:rsid w:val="003C5F89"/>
    <w:rsid w:val="003C6DD2"/>
    <w:rsid w:val="003D1533"/>
    <w:rsid w:val="003D1C03"/>
    <w:rsid w:val="003D1DB6"/>
    <w:rsid w:val="003D26C8"/>
    <w:rsid w:val="003D549A"/>
    <w:rsid w:val="003D60CA"/>
    <w:rsid w:val="003D625E"/>
    <w:rsid w:val="003D73D3"/>
    <w:rsid w:val="003D7CFB"/>
    <w:rsid w:val="003E1B61"/>
    <w:rsid w:val="003E1C1A"/>
    <w:rsid w:val="003E1E70"/>
    <w:rsid w:val="003E212F"/>
    <w:rsid w:val="003E26AC"/>
    <w:rsid w:val="003E36D8"/>
    <w:rsid w:val="003E3745"/>
    <w:rsid w:val="003E3E0F"/>
    <w:rsid w:val="003E3F5F"/>
    <w:rsid w:val="003E454E"/>
    <w:rsid w:val="003E590B"/>
    <w:rsid w:val="003E5C1A"/>
    <w:rsid w:val="003E6265"/>
    <w:rsid w:val="003E66DA"/>
    <w:rsid w:val="003E68F1"/>
    <w:rsid w:val="003E7073"/>
    <w:rsid w:val="003E7A1F"/>
    <w:rsid w:val="003F0877"/>
    <w:rsid w:val="003F0D0E"/>
    <w:rsid w:val="003F1AFF"/>
    <w:rsid w:val="003F20E4"/>
    <w:rsid w:val="003F4571"/>
    <w:rsid w:val="003F68D8"/>
    <w:rsid w:val="004006C7"/>
    <w:rsid w:val="00401ABA"/>
    <w:rsid w:val="004023E8"/>
    <w:rsid w:val="00402F42"/>
    <w:rsid w:val="00403D2A"/>
    <w:rsid w:val="004059EA"/>
    <w:rsid w:val="004062B0"/>
    <w:rsid w:val="00406B69"/>
    <w:rsid w:val="00406E8D"/>
    <w:rsid w:val="00410514"/>
    <w:rsid w:val="004113F9"/>
    <w:rsid w:val="00411C56"/>
    <w:rsid w:val="00411CAA"/>
    <w:rsid w:val="0041449D"/>
    <w:rsid w:val="004144DF"/>
    <w:rsid w:val="0041461D"/>
    <w:rsid w:val="00414750"/>
    <w:rsid w:val="00414C14"/>
    <w:rsid w:val="00415091"/>
    <w:rsid w:val="004151FB"/>
    <w:rsid w:val="00415E93"/>
    <w:rsid w:val="004178FC"/>
    <w:rsid w:val="004205E8"/>
    <w:rsid w:val="00421629"/>
    <w:rsid w:val="00421938"/>
    <w:rsid w:val="004240FB"/>
    <w:rsid w:val="0042445F"/>
    <w:rsid w:val="00424A9E"/>
    <w:rsid w:val="00424C1D"/>
    <w:rsid w:val="004256A5"/>
    <w:rsid w:val="00426A69"/>
    <w:rsid w:val="00426D9C"/>
    <w:rsid w:val="00426F3B"/>
    <w:rsid w:val="00431A7F"/>
    <w:rsid w:val="00431B24"/>
    <w:rsid w:val="00431F2D"/>
    <w:rsid w:val="0043218E"/>
    <w:rsid w:val="004328DE"/>
    <w:rsid w:val="0043296A"/>
    <w:rsid w:val="00432E48"/>
    <w:rsid w:val="0043333B"/>
    <w:rsid w:val="00434092"/>
    <w:rsid w:val="00435188"/>
    <w:rsid w:val="004355B4"/>
    <w:rsid w:val="004358DB"/>
    <w:rsid w:val="00436CA6"/>
    <w:rsid w:val="0044029F"/>
    <w:rsid w:val="0044129E"/>
    <w:rsid w:val="00441C6F"/>
    <w:rsid w:val="0044221B"/>
    <w:rsid w:val="004440E5"/>
    <w:rsid w:val="00444534"/>
    <w:rsid w:val="004456AB"/>
    <w:rsid w:val="00446413"/>
    <w:rsid w:val="004469F9"/>
    <w:rsid w:val="0045040C"/>
    <w:rsid w:val="004507B9"/>
    <w:rsid w:val="004517F3"/>
    <w:rsid w:val="004518ED"/>
    <w:rsid w:val="00451D48"/>
    <w:rsid w:val="00451ED0"/>
    <w:rsid w:val="0045200F"/>
    <w:rsid w:val="004526A2"/>
    <w:rsid w:val="00453143"/>
    <w:rsid w:val="0045339E"/>
    <w:rsid w:val="0045409E"/>
    <w:rsid w:val="004542EA"/>
    <w:rsid w:val="00454AB9"/>
    <w:rsid w:val="0045688B"/>
    <w:rsid w:val="00456E31"/>
    <w:rsid w:val="004575DB"/>
    <w:rsid w:val="004600B2"/>
    <w:rsid w:val="00462BB9"/>
    <w:rsid w:val="0046346C"/>
    <w:rsid w:val="00463616"/>
    <w:rsid w:val="00463882"/>
    <w:rsid w:val="00464499"/>
    <w:rsid w:val="00465149"/>
    <w:rsid w:val="00466290"/>
    <w:rsid w:val="004666AD"/>
    <w:rsid w:val="004671AB"/>
    <w:rsid w:val="00471C1E"/>
    <w:rsid w:val="00472E7C"/>
    <w:rsid w:val="00473C7B"/>
    <w:rsid w:val="004741D4"/>
    <w:rsid w:val="00476695"/>
    <w:rsid w:val="004767C3"/>
    <w:rsid w:val="00476AFB"/>
    <w:rsid w:val="00477026"/>
    <w:rsid w:val="0047745B"/>
    <w:rsid w:val="00480EEE"/>
    <w:rsid w:val="004839AF"/>
    <w:rsid w:val="004843B2"/>
    <w:rsid w:val="00484DCB"/>
    <w:rsid w:val="00484DD3"/>
    <w:rsid w:val="00485520"/>
    <w:rsid w:val="004859FD"/>
    <w:rsid w:val="00486047"/>
    <w:rsid w:val="00487A33"/>
    <w:rsid w:val="00490D60"/>
    <w:rsid w:val="00492DC7"/>
    <w:rsid w:val="00493393"/>
    <w:rsid w:val="00493D28"/>
    <w:rsid w:val="0049432F"/>
    <w:rsid w:val="00494785"/>
    <w:rsid w:val="004948A2"/>
    <w:rsid w:val="00494F9B"/>
    <w:rsid w:val="0049525A"/>
    <w:rsid w:val="00495C2F"/>
    <w:rsid w:val="00495D64"/>
    <w:rsid w:val="004962D8"/>
    <w:rsid w:val="0049650D"/>
    <w:rsid w:val="00497797"/>
    <w:rsid w:val="004A0490"/>
    <w:rsid w:val="004A0C97"/>
    <w:rsid w:val="004A0E1A"/>
    <w:rsid w:val="004A1368"/>
    <w:rsid w:val="004A1BCC"/>
    <w:rsid w:val="004A1C34"/>
    <w:rsid w:val="004A3D23"/>
    <w:rsid w:val="004A4F89"/>
    <w:rsid w:val="004A6232"/>
    <w:rsid w:val="004A62B7"/>
    <w:rsid w:val="004A6342"/>
    <w:rsid w:val="004B147A"/>
    <w:rsid w:val="004B2EEB"/>
    <w:rsid w:val="004B30CC"/>
    <w:rsid w:val="004B310C"/>
    <w:rsid w:val="004B3941"/>
    <w:rsid w:val="004B41B4"/>
    <w:rsid w:val="004B4C99"/>
    <w:rsid w:val="004B59B5"/>
    <w:rsid w:val="004B59FB"/>
    <w:rsid w:val="004B5C83"/>
    <w:rsid w:val="004B6C06"/>
    <w:rsid w:val="004B7D0D"/>
    <w:rsid w:val="004C1719"/>
    <w:rsid w:val="004C1B40"/>
    <w:rsid w:val="004C1BA7"/>
    <w:rsid w:val="004C2FFF"/>
    <w:rsid w:val="004C3370"/>
    <w:rsid w:val="004C339D"/>
    <w:rsid w:val="004C4FF6"/>
    <w:rsid w:val="004C60BE"/>
    <w:rsid w:val="004C68EB"/>
    <w:rsid w:val="004C6B99"/>
    <w:rsid w:val="004C6E9E"/>
    <w:rsid w:val="004C713E"/>
    <w:rsid w:val="004D021F"/>
    <w:rsid w:val="004D054E"/>
    <w:rsid w:val="004D05FA"/>
    <w:rsid w:val="004D1AEA"/>
    <w:rsid w:val="004D2269"/>
    <w:rsid w:val="004D2674"/>
    <w:rsid w:val="004D385F"/>
    <w:rsid w:val="004D4D3B"/>
    <w:rsid w:val="004D4E4D"/>
    <w:rsid w:val="004D5C5B"/>
    <w:rsid w:val="004D5CB7"/>
    <w:rsid w:val="004D5E02"/>
    <w:rsid w:val="004D614D"/>
    <w:rsid w:val="004D6155"/>
    <w:rsid w:val="004D6633"/>
    <w:rsid w:val="004D794F"/>
    <w:rsid w:val="004E096E"/>
    <w:rsid w:val="004E09B5"/>
    <w:rsid w:val="004E2C58"/>
    <w:rsid w:val="004E30E7"/>
    <w:rsid w:val="004E3AC7"/>
    <w:rsid w:val="004E3C9D"/>
    <w:rsid w:val="004E417F"/>
    <w:rsid w:val="004E4265"/>
    <w:rsid w:val="004E4CE7"/>
    <w:rsid w:val="004E50FA"/>
    <w:rsid w:val="004E6603"/>
    <w:rsid w:val="004E6838"/>
    <w:rsid w:val="004F192A"/>
    <w:rsid w:val="004F1C06"/>
    <w:rsid w:val="004F29E6"/>
    <w:rsid w:val="004F2F74"/>
    <w:rsid w:val="004F43A7"/>
    <w:rsid w:val="004F4747"/>
    <w:rsid w:val="004F4D35"/>
    <w:rsid w:val="004F5447"/>
    <w:rsid w:val="004F6EA1"/>
    <w:rsid w:val="00500D62"/>
    <w:rsid w:val="00502074"/>
    <w:rsid w:val="005020F5"/>
    <w:rsid w:val="0050221F"/>
    <w:rsid w:val="00502A17"/>
    <w:rsid w:val="00503380"/>
    <w:rsid w:val="00503EA5"/>
    <w:rsid w:val="00504127"/>
    <w:rsid w:val="0050424B"/>
    <w:rsid w:val="00506288"/>
    <w:rsid w:val="00506C1D"/>
    <w:rsid w:val="00507EAD"/>
    <w:rsid w:val="00510147"/>
    <w:rsid w:val="00510EE0"/>
    <w:rsid w:val="00510FC1"/>
    <w:rsid w:val="00510FDC"/>
    <w:rsid w:val="00511219"/>
    <w:rsid w:val="0051122A"/>
    <w:rsid w:val="00511394"/>
    <w:rsid w:val="00511959"/>
    <w:rsid w:val="00511CB7"/>
    <w:rsid w:val="00512DFD"/>
    <w:rsid w:val="00512EA0"/>
    <w:rsid w:val="005151EC"/>
    <w:rsid w:val="00515667"/>
    <w:rsid w:val="00516523"/>
    <w:rsid w:val="00517326"/>
    <w:rsid w:val="005176EC"/>
    <w:rsid w:val="005207C4"/>
    <w:rsid w:val="005212A5"/>
    <w:rsid w:val="00523691"/>
    <w:rsid w:val="00524520"/>
    <w:rsid w:val="00525356"/>
    <w:rsid w:val="0052576B"/>
    <w:rsid w:val="005257C2"/>
    <w:rsid w:val="005265BA"/>
    <w:rsid w:val="00526D69"/>
    <w:rsid w:val="005304C7"/>
    <w:rsid w:val="00530766"/>
    <w:rsid w:val="00534381"/>
    <w:rsid w:val="00534989"/>
    <w:rsid w:val="00534D22"/>
    <w:rsid w:val="00535CCB"/>
    <w:rsid w:val="005366D2"/>
    <w:rsid w:val="00536835"/>
    <w:rsid w:val="0053768A"/>
    <w:rsid w:val="005403F2"/>
    <w:rsid w:val="00540DC3"/>
    <w:rsid w:val="005413CB"/>
    <w:rsid w:val="00545819"/>
    <w:rsid w:val="005458B3"/>
    <w:rsid w:val="00546943"/>
    <w:rsid w:val="00546A5E"/>
    <w:rsid w:val="00547241"/>
    <w:rsid w:val="005501FC"/>
    <w:rsid w:val="005502D4"/>
    <w:rsid w:val="0055148B"/>
    <w:rsid w:val="00551803"/>
    <w:rsid w:val="00552B5D"/>
    <w:rsid w:val="00553895"/>
    <w:rsid w:val="00553B60"/>
    <w:rsid w:val="005540CE"/>
    <w:rsid w:val="0055474B"/>
    <w:rsid w:val="00554986"/>
    <w:rsid w:val="00554AFD"/>
    <w:rsid w:val="005552A3"/>
    <w:rsid w:val="00555829"/>
    <w:rsid w:val="0055682D"/>
    <w:rsid w:val="00556C75"/>
    <w:rsid w:val="005571BF"/>
    <w:rsid w:val="00557684"/>
    <w:rsid w:val="00557E69"/>
    <w:rsid w:val="00560276"/>
    <w:rsid w:val="0056087C"/>
    <w:rsid w:val="0056095D"/>
    <w:rsid w:val="00560A6D"/>
    <w:rsid w:val="0056133C"/>
    <w:rsid w:val="00561524"/>
    <w:rsid w:val="00561C53"/>
    <w:rsid w:val="0056200F"/>
    <w:rsid w:val="00562288"/>
    <w:rsid w:val="00563626"/>
    <w:rsid w:val="00563C54"/>
    <w:rsid w:val="0056516C"/>
    <w:rsid w:val="0056668F"/>
    <w:rsid w:val="00566DBA"/>
    <w:rsid w:val="00567262"/>
    <w:rsid w:val="00567532"/>
    <w:rsid w:val="00573AA9"/>
    <w:rsid w:val="005741E8"/>
    <w:rsid w:val="00574885"/>
    <w:rsid w:val="0057495B"/>
    <w:rsid w:val="00574FA7"/>
    <w:rsid w:val="00575E33"/>
    <w:rsid w:val="00575E9B"/>
    <w:rsid w:val="005762C1"/>
    <w:rsid w:val="00576BE8"/>
    <w:rsid w:val="005772EB"/>
    <w:rsid w:val="00577A8F"/>
    <w:rsid w:val="00577C22"/>
    <w:rsid w:val="00577D97"/>
    <w:rsid w:val="00577F5D"/>
    <w:rsid w:val="00580260"/>
    <w:rsid w:val="00580774"/>
    <w:rsid w:val="00580A3B"/>
    <w:rsid w:val="00580C05"/>
    <w:rsid w:val="00581FFA"/>
    <w:rsid w:val="00582CFB"/>
    <w:rsid w:val="0058361C"/>
    <w:rsid w:val="00583759"/>
    <w:rsid w:val="00584F3B"/>
    <w:rsid w:val="00585030"/>
    <w:rsid w:val="0058548B"/>
    <w:rsid w:val="00585A8E"/>
    <w:rsid w:val="00585D03"/>
    <w:rsid w:val="00586736"/>
    <w:rsid w:val="00587117"/>
    <w:rsid w:val="005877F3"/>
    <w:rsid w:val="00590576"/>
    <w:rsid w:val="00591C41"/>
    <w:rsid w:val="00591C96"/>
    <w:rsid w:val="005922F6"/>
    <w:rsid w:val="0059234B"/>
    <w:rsid w:val="005925BD"/>
    <w:rsid w:val="005932ED"/>
    <w:rsid w:val="005932F7"/>
    <w:rsid w:val="00594288"/>
    <w:rsid w:val="00594AEA"/>
    <w:rsid w:val="00594C8E"/>
    <w:rsid w:val="00595156"/>
    <w:rsid w:val="00595CC5"/>
    <w:rsid w:val="00597C28"/>
    <w:rsid w:val="005A0055"/>
    <w:rsid w:val="005A0224"/>
    <w:rsid w:val="005A0B85"/>
    <w:rsid w:val="005A1C51"/>
    <w:rsid w:val="005A359D"/>
    <w:rsid w:val="005A46D1"/>
    <w:rsid w:val="005A4FA0"/>
    <w:rsid w:val="005A5B6C"/>
    <w:rsid w:val="005A5F4B"/>
    <w:rsid w:val="005A68FB"/>
    <w:rsid w:val="005A775E"/>
    <w:rsid w:val="005A7F0F"/>
    <w:rsid w:val="005B101A"/>
    <w:rsid w:val="005B1107"/>
    <w:rsid w:val="005B1AC4"/>
    <w:rsid w:val="005B218B"/>
    <w:rsid w:val="005B3317"/>
    <w:rsid w:val="005B34A6"/>
    <w:rsid w:val="005B3F34"/>
    <w:rsid w:val="005B4512"/>
    <w:rsid w:val="005B4559"/>
    <w:rsid w:val="005B4B5E"/>
    <w:rsid w:val="005B5FB9"/>
    <w:rsid w:val="005B6BFE"/>
    <w:rsid w:val="005B7161"/>
    <w:rsid w:val="005B7481"/>
    <w:rsid w:val="005C2A58"/>
    <w:rsid w:val="005C3596"/>
    <w:rsid w:val="005C35ED"/>
    <w:rsid w:val="005C3827"/>
    <w:rsid w:val="005C3B40"/>
    <w:rsid w:val="005C5B60"/>
    <w:rsid w:val="005C6C27"/>
    <w:rsid w:val="005C73AA"/>
    <w:rsid w:val="005C7AF2"/>
    <w:rsid w:val="005C7E12"/>
    <w:rsid w:val="005D0A76"/>
    <w:rsid w:val="005D109B"/>
    <w:rsid w:val="005D1668"/>
    <w:rsid w:val="005D173C"/>
    <w:rsid w:val="005D2A12"/>
    <w:rsid w:val="005D47A8"/>
    <w:rsid w:val="005D523C"/>
    <w:rsid w:val="005D5332"/>
    <w:rsid w:val="005D6754"/>
    <w:rsid w:val="005D74FD"/>
    <w:rsid w:val="005D776E"/>
    <w:rsid w:val="005D78A0"/>
    <w:rsid w:val="005E1616"/>
    <w:rsid w:val="005E2891"/>
    <w:rsid w:val="005E3432"/>
    <w:rsid w:val="005E54BD"/>
    <w:rsid w:val="005E5981"/>
    <w:rsid w:val="005E62A0"/>
    <w:rsid w:val="005E62CF"/>
    <w:rsid w:val="005E633D"/>
    <w:rsid w:val="005E767D"/>
    <w:rsid w:val="005F1655"/>
    <w:rsid w:val="005F16E5"/>
    <w:rsid w:val="005F1A84"/>
    <w:rsid w:val="005F1B6C"/>
    <w:rsid w:val="005F371E"/>
    <w:rsid w:val="005F428C"/>
    <w:rsid w:val="005F49FE"/>
    <w:rsid w:val="005F6A84"/>
    <w:rsid w:val="005F6E58"/>
    <w:rsid w:val="00600468"/>
    <w:rsid w:val="006010D1"/>
    <w:rsid w:val="00601445"/>
    <w:rsid w:val="00601AE6"/>
    <w:rsid w:val="006021DE"/>
    <w:rsid w:val="006022B0"/>
    <w:rsid w:val="00602A2C"/>
    <w:rsid w:val="00602DCF"/>
    <w:rsid w:val="00603D16"/>
    <w:rsid w:val="00604EC9"/>
    <w:rsid w:val="00605C08"/>
    <w:rsid w:val="00606746"/>
    <w:rsid w:val="00607FF5"/>
    <w:rsid w:val="00610341"/>
    <w:rsid w:val="0061242D"/>
    <w:rsid w:val="0061259E"/>
    <w:rsid w:val="00612BBE"/>
    <w:rsid w:val="00612BED"/>
    <w:rsid w:val="006133CA"/>
    <w:rsid w:val="00613830"/>
    <w:rsid w:val="006139C6"/>
    <w:rsid w:val="00613A8C"/>
    <w:rsid w:val="00614582"/>
    <w:rsid w:val="006149E7"/>
    <w:rsid w:val="00614C81"/>
    <w:rsid w:val="00616733"/>
    <w:rsid w:val="00616A1C"/>
    <w:rsid w:val="00617048"/>
    <w:rsid w:val="0062320E"/>
    <w:rsid w:val="006233B9"/>
    <w:rsid w:val="00623736"/>
    <w:rsid w:val="006248C4"/>
    <w:rsid w:val="006252D7"/>
    <w:rsid w:val="00625567"/>
    <w:rsid w:val="006257BF"/>
    <w:rsid w:val="00625B1D"/>
    <w:rsid w:val="00626039"/>
    <w:rsid w:val="006271A5"/>
    <w:rsid w:val="00627A77"/>
    <w:rsid w:val="00630259"/>
    <w:rsid w:val="006325F6"/>
    <w:rsid w:val="006326E0"/>
    <w:rsid w:val="006335BE"/>
    <w:rsid w:val="006336C1"/>
    <w:rsid w:val="006339C8"/>
    <w:rsid w:val="00633A5C"/>
    <w:rsid w:val="00633B0D"/>
    <w:rsid w:val="00633BB0"/>
    <w:rsid w:val="00634671"/>
    <w:rsid w:val="006346C3"/>
    <w:rsid w:val="00636810"/>
    <w:rsid w:val="00636B19"/>
    <w:rsid w:val="00636B7C"/>
    <w:rsid w:val="006405C9"/>
    <w:rsid w:val="00641064"/>
    <w:rsid w:val="006412C4"/>
    <w:rsid w:val="0064298F"/>
    <w:rsid w:val="00643780"/>
    <w:rsid w:val="0064465C"/>
    <w:rsid w:val="00644CF2"/>
    <w:rsid w:val="00644D08"/>
    <w:rsid w:val="00645CF5"/>
    <w:rsid w:val="00646E01"/>
    <w:rsid w:val="00650910"/>
    <w:rsid w:val="00650F0D"/>
    <w:rsid w:val="006510EA"/>
    <w:rsid w:val="00651181"/>
    <w:rsid w:val="006514D6"/>
    <w:rsid w:val="006515BE"/>
    <w:rsid w:val="006523BF"/>
    <w:rsid w:val="00652753"/>
    <w:rsid w:val="006529CA"/>
    <w:rsid w:val="00653271"/>
    <w:rsid w:val="00653309"/>
    <w:rsid w:val="0065332D"/>
    <w:rsid w:val="00653A8A"/>
    <w:rsid w:val="00654877"/>
    <w:rsid w:val="0065572E"/>
    <w:rsid w:val="00655AEB"/>
    <w:rsid w:val="00657A7B"/>
    <w:rsid w:val="00657B65"/>
    <w:rsid w:val="00657DC9"/>
    <w:rsid w:val="00657EB4"/>
    <w:rsid w:val="00660984"/>
    <w:rsid w:val="00661598"/>
    <w:rsid w:val="0066187B"/>
    <w:rsid w:val="00661F4A"/>
    <w:rsid w:val="00661FBC"/>
    <w:rsid w:val="006637C5"/>
    <w:rsid w:val="00663A50"/>
    <w:rsid w:val="006642DB"/>
    <w:rsid w:val="00664615"/>
    <w:rsid w:val="006651AA"/>
    <w:rsid w:val="00665D1C"/>
    <w:rsid w:val="00666857"/>
    <w:rsid w:val="00670E67"/>
    <w:rsid w:val="006736AF"/>
    <w:rsid w:val="00674D34"/>
    <w:rsid w:val="006758C9"/>
    <w:rsid w:val="00675CA5"/>
    <w:rsid w:val="00676DAD"/>
    <w:rsid w:val="006772B8"/>
    <w:rsid w:val="00677D8C"/>
    <w:rsid w:val="0068040B"/>
    <w:rsid w:val="00681FD8"/>
    <w:rsid w:val="00684675"/>
    <w:rsid w:val="0068468D"/>
    <w:rsid w:val="00684B7E"/>
    <w:rsid w:val="00684CB6"/>
    <w:rsid w:val="00685631"/>
    <w:rsid w:val="0068662E"/>
    <w:rsid w:val="00686D63"/>
    <w:rsid w:val="00687422"/>
    <w:rsid w:val="006876AF"/>
    <w:rsid w:val="0069006F"/>
    <w:rsid w:val="00690161"/>
    <w:rsid w:val="00691BFC"/>
    <w:rsid w:val="00692AFE"/>
    <w:rsid w:val="0069303E"/>
    <w:rsid w:val="0069430E"/>
    <w:rsid w:val="006943BE"/>
    <w:rsid w:val="00694F09"/>
    <w:rsid w:val="00695AE0"/>
    <w:rsid w:val="00695EF7"/>
    <w:rsid w:val="00697225"/>
    <w:rsid w:val="00697A8E"/>
    <w:rsid w:val="006A01DF"/>
    <w:rsid w:val="006A1309"/>
    <w:rsid w:val="006A2A8D"/>
    <w:rsid w:val="006A4104"/>
    <w:rsid w:val="006A4976"/>
    <w:rsid w:val="006A4B67"/>
    <w:rsid w:val="006A5021"/>
    <w:rsid w:val="006A5D2D"/>
    <w:rsid w:val="006A6891"/>
    <w:rsid w:val="006A6B49"/>
    <w:rsid w:val="006A7235"/>
    <w:rsid w:val="006A780E"/>
    <w:rsid w:val="006A790E"/>
    <w:rsid w:val="006A7FF2"/>
    <w:rsid w:val="006B05EE"/>
    <w:rsid w:val="006B0DBD"/>
    <w:rsid w:val="006B1039"/>
    <w:rsid w:val="006B1667"/>
    <w:rsid w:val="006B1D2C"/>
    <w:rsid w:val="006B2EC6"/>
    <w:rsid w:val="006B32C0"/>
    <w:rsid w:val="006B35C9"/>
    <w:rsid w:val="006B4652"/>
    <w:rsid w:val="006B4DF1"/>
    <w:rsid w:val="006B5715"/>
    <w:rsid w:val="006B6BCD"/>
    <w:rsid w:val="006B71D9"/>
    <w:rsid w:val="006C122E"/>
    <w:rsid w:val="006C17A5"/>
    <w:rsid w:val="006C2219"/>
    <w:rsid w:val="006C2EE1"/>
    <w:rsid w:val="006C3A54"/>
    <w:rsid w:val="006C44EF"/>
    <w:rsid w:val="006C4627"/>
    <w:rsid w:val="006C5505"/>
    <w:rsid w:val="006C5E04"/>
    <w:rsid w:val="006C5E33"/>
    <w:rsid w:val="006C6725"/>
    <w:rsid w:val="006C699E"/>
    <w:rsid w:val="006C6B9C"/>
    <w:rsid w:val="006D1FCA"/>
    <w:rsid w:val="006D2D28"/>
    <w:rsid w:val="006D31F7"/>
    <w:rsid w:val="006D4BEF"/>
    <w:rsid w:val="006D4C98"/>
    <w:rsid w:val="006D56DB"/>
    <w:rsid w:val="006D58C1"/>
    <w:rsid w:val="006D64BC"/>
    <w:rsid w:val="006D656F"/>
    <w:rsid w:val="006D6B67"/>
    <w:rsid w:val="006D78D0"/>
    <w:rsid w:val="006D7C26"/>
    <w:rsid w:val="006D7D0F"/>
    <w:rsid w:val="006E0550"/>
    <w:rsid w:val="006E101A"/>
    <w:rsid w:val="006E11C0"/>
    <w:rsid w:val="006E15EE"/>
    <w:rsid w:val="006E1A59"/>
    <w:rsid w:val="006E1B40"/>
    <w:rsid w:val="006E28BF"/>
    <w:rsid w:val="006E2B8C"/>
    <w:rsid w:val="006E2C10"/>
    <w:rsid w:val="006E2EFE"/>
    <w:rsid w:val="006E3600"/>
    <w:rsid w:val="006E46B9"/>
    <w:rsid w:val="006E4C32"/>
    <w:rsid w:val="006E5CC5"/>
    <w:rsid w:val="006E6888"/>
    <w:rsid w:val="006E69F8"/>
    <w:rsid w:val="006E6D44"/>
    <w:rsid w:val="006E71E7"/>
    <w:rsid w:val="006E751A"/>
    <w:rsid w:val="006E791A"/>
    <w:rsid w:val="006F0069"/>
    <w:rsid w:val="006F0567"/>
    <w:rsid w:val="006F1C6B"/>
    <w:rsid w:val="006F2CDC"/>
    <w:rsid w:val="006F2CE5"/>
    <w:rsid w:val="006F3052"/>
    <w:rsid w:val="006F3766"/>
    <w:rsid w:val="006F4389"/>
    <w:rsid w:val="006F5C81"/>
    <w:rsid w:val="006F6CBA"/>
    <w:rsid w:val="006F6DA4"/>
    <w:rsid w:val="006F70EC"/>
    <w:rsid w:val="006F716B"/>
    <w:rsid w:val="007026AA"/>
    <w:rsid w:val="00703199"/>
    <w:rsid w:val="00703E68"/>
    <w:rsid w:val="0070533A"/>
    <w:rsid w:val="007055D5"/>
    <w:rsid w:val="00706470"/>
    <w:rsid w:val="00707535"/>
    <w:rsid w:val="00707C61"/>
    <w:rsid w:val="007104C4"/>
    <w:rsid w:val="00710CEA"/>
    <w:rsid w:val="0071249F"/>
    <w:rsid w:val="00713AA3"/>
    <w:rsid w:val="00715A42"/>
    <w:rsid w:val="007168E9"/>
    <w:rsid w:val="0071795F"/>
    <w:rsid w:val="00717CAF"/>
    <w:rsid w:val="007209AF"/>
    <w:rsid w:val="007215EB"/>
    <w:rsid w:val="007218B4"/>
    <w:rsid w:val="007219D0"/>
    <w:rsid w:val="00723C69"/>
    <w:rsid w:val="00730BB8"/>
    <w:rsid w:val="0073188F"/>
    <w:rsid w:val="007320B0"/>
    <w:rsid w:val="007330ED"/>
    <w:rsid w:val="007346DA"/>
    <w:rsid w:val="00734FE1"/>
    <w:rsid w:val="00736A30"/>
    <w:rsid w:val="0073759B"/>
    <w:rsid w:val="007376E5"/>
    <w:rsid w:val="00737B98"/>
    <w:rsid w:val="0074064A"/>
    <w:rsid w:val="00740A02"/>
    <w:rsid w:val="007415AD"/>
    <w:rsid w:val="00742511"/>
    <w:rsid w:val="00742F7B"/>
    <w:rsid w:val="00743315"/>
    <w:rsid w:val="00743B5C"/>
    <w:rsid w:val="00743E80"/>
    <w:rsid w:val="007441E5"/>
    <w:rsid w:val="00744DB9"/>
    <w:rsid w:val="007452FC"/>
    <w:rsid w:val="00745E54"/>
    <w:rsid w:val="0075022F"/>
    <w:rsid w:val="00751F23"/>
    <w:rsid w:val="007525A2"/>
    <w:rsid w:val="007528C4"/>
    <w:rsid w:val="0075297D"/>
    <w:rsid w:val="00752A6C"/>
    <w:rsid w:val="00752C15"/>
    <w:rsid w:val="007531B7"/>
    <w:rsid w:val="00753374"/>
    <w:rsid w:val="00754369"/>
    <w:rsid w:val="00756556"/>
    <w:rsid w:val="0075734E"/>
    <w:rsid w:val="00761C82"/>
    <w:rsid w:val="00761CFE"/>
    <w:rsid w:val="00761F8C"/>
    <w:rsid w:val="00762818"/>
    <w:rsid w:val="00764774"/>
    <w:rsid w:val="007657CF"/>
    <w:rsid w:val="007662F6"/>
    <w:rsid w:val="00766637"/>
    <w:rsid w:val="00767A64"/>
    <w:rsid w:val="007708EF"/>
    <w:rsid w:val="0077144A"/>
    <w:rsid w:val="007740BC"/>
    <w:rsid w:val="0077473B"/>
    <w:rsid w:val="007752B8"/>
    <w:rsid w:val="00776048"/>
    <w:rsid w:val="00776AEC"/>
    <w:rsid w:val="007777A2"/>
    <w:rsid w:val="00777E8E"/>
    <w:rsid w:val="007802CD"/>
    <w:rsid w:val="00780EE6"/>
    <w:rsid w:val="00781178"/>
    <w:rsid w:val="00781345"/>
    <w:rsid w:val="00781DD1"/>
    <w:rsid w:val="007820C1"/>
    <w:rsid w:val="007828FE"/>
    <w:rsid w:val="00785016"/>
    <w:rsid w:val="0078594D"/>
    <w:rsid w:val="00785FF8"/>
    <w:rsid w:val="0078701F"/>
    <w:rsid w:val="00787C53"/>
    <w:rsid w:val="00790874"/>
    <w:rsid w:val="007908E3"/>
    <w:rsid w:val="00790B31"/>
    <w:rsid w:val="00790B8C"/>
    <w:rsid w:val="00791983"/>
    <w:rsid w:val="00791B32"/>
    <w:rsid w:val="00791E59"/>
    <w:rsid w:val="00792A99"/>
    <w:rsid w:val="007939EC"/>
    <w:rsid w:val="00793CBA"/>
    <w:rsid w:val="00793D0F"/>
    <w:rsid w:val="0079429A"/>
    <w:rsid w:val="0079508D"/>
    <w:rsid w:val="00795BA6"/>
    <w:rsid w:val="00795E45"/>
    <w:rsid w:val="0079647B"/>
    <w:rsid w:val="00797197"/>
    <w:rsid w:val="00797543"/>
    <w:rsid w:val="007A0450"/>
    <w:rsid w:val="007A04D7"/>
    <w:rsid w:val="007A09BB"/>
    <w:rsid w:val="007A0F2F"/>
    <w:rsid w:val="007A243C"/>
    <w:rsid w:val="007A3494"/>
    <w:rsid w:val="007A3F4D"/>
    <w:rsid w:val="007A4380"/>
    <w:rsid w:val="007A5CAF"/>
    <w:rsid w:val="007A5E0C"/>
    <w:rsid w:val="007A6BC6"/>
    <w:rsid w:val="007A6F5A"/>
    <w:rsid w:val="007A7EA4"/>
    <w:rsid w:val="007B0230"/>
    <w:rsid w:val="007B0C42"/>
    <w:rsid w:val="007B0C9E"/>
    <w:rsid w:val="007B1966"/>
    <w:rsid w:val="007B1E30"/>
    <w:rsid w:val="007B31D9"/>
    <w:rsid w:val="007B37D9"/>
    <w:rsid w:val="007B68D7"/>
    <w:rsid w:val="007C0E5F"/>
    <w:rsid w:val="007C0E7C"/>
    <w:rsid w:val="007C0FB6"/>
    <w:rsid w:val="007C1336"/>
    <w:rsid w:val="007C220C"/>
    <w:rsid w:val="007C2A73"/>
    <w:rsid w:val="007C302E"/>
    <w:rsid w:val="007C4ABB"/>
    <w:rsid w:val="007C5ABA"/>
    <w:rsid w:val="007C5B5D"/>
    <w:rsid w:val="007C66D8"/>
    <w:rsid w:val="007C6AE4"/>
    <w:rsid w:val="007C6D97"/>
    <w:rsid w:val="007C6E24"/>
    <w:rsid w:val="007D14C3"/>
    <w:rsid w:val="007D2E19"/>
    <w:rsid w:val="007D4231"/>
    <w:rsid w:val="007D4497"/>
    <w:rsid w:val="007D4616"/>
    <w:rsid w:val="007D5C2D"/>
    <w:rsid w:val="007D5EF3"/>
    <w:rsid w:val="007D6CA7"/>
    <w:rsid w:val="007E0334"/>
    <w:rsid w:val="007E0CFD"/>
    <w:rsid w:val="007E265C"/>
    <w:rsid w:val="007E36D0"/>
    <w:rsid w:val="007E3CDB"/>
    <w:rsid w:val="007E41EE"/>
    <w:rsid w:val="007E478D"/>
    <w:rsid w:val="007E5211"/>
    <w:rsid w:val="007E6602"/>
    <w:rsid w:val="007E71D0"/>
    <w:rsid w:val="007F060F"/>
    <w:rsid w:val="007F0C65"/>
    <w:rsid w:val="007F27E5"/>
    <w:rsid w:val="007F369A"/>
    <w:rsid w:val="007F451F"/>
    <w:rsid w:val="007F4D82"/>
    <w:rsid w:val="007F59AD"/>
    <w:rsid w:val="007F631E"/>
    <w:rsid w:val="007F73AD"/>
    <w:rsid w:val="007F7800"/>
    <w:rsid w:val="007F79BB"/>
    <w:rsid w:val="008000AB"/>
    <w:rsid w:val="00800724"/>
    <w:rsid w:val="0080091E"/>
    <w:rsid w:val="008009E2"/>
    <w:rsid w:val="00800BC0"/>
    <w:rsid w:val="008010BA"/>
    <w:rsid w:val="00803106"/>
    <w:rsid w:val="008035B3"/>
    <w:rsid w:val="008035D2"/>
    <w:rsid w:val="008053D2"/>
    <w:rsid w:val="008054D5"/>
    <w:rsid w:val="00805B87"/>
    <w:rsid w:val="00805CF8"/>
    <w:rsid w:val="008063C7"/>
    <w:rsid w:val="00806813"/>
    <w:rsid w:val="00806AA5"/>
    <w:rsid w:val="00806D55"/>
    <w:rsid w:val="00807E68"/>
    <w:rsid w:val="00812C14"/>
    <w:rsid w:val="00813029"/>
    <w:rsid w:val="00813175"/>
    <w:rsid w:val="0081323F"/>
    <w:rsid w:val="008132BC"/>
    <w:rsid w:val="00814AB0"/>
    <w:rsid w:val="008150D0"/>
    <w:rsid w:val="00815159"/>
    <w:rsid w:val="0081697F"/>
    <w:rsid w:val="008200B7"/>
    <w:rsid w:val="008205CD"/>
    <w:rsid w:val="00820807"/>
    <w:rsid w:val="00821074"/>
    <w:rsid w:val="00821350"/>
    <w:rsid w:val="00821630"/>
    <w:rsid w:val="00822A6D"/>
    <w:rsid w:val="00823211"/>
    <w:rsid w:val="00823FF9"/>
    <w:rsid w:val="00825AD2"/>
    <w:rsid w:val="00825E79"/>
    <w:rsid w:val="00826886"/>
    <w:rsid w:val="00827C04"/>
    <w:rsid w:val="00827C56"/>
    <w:rsid w:val="00827D9E"/>
    <w:rsid w:val="008304DC"/>
    <w:rsid w:val="00831A1B"/>
    <w:rsid w:val="00831A3C"/>
    <w:rsid w:val="00831E8C"/>
    <w:rsid w:val="00831F42"/>
    <w:rsid w:val="00832537"/>
    <w:rsid w:val="0083269B"/>
    <w:rsid w:val="0083309D"/>
    <w:rsid w:val="00834484"/>
    <w:rsid w:val="008347B1"/>
    <w:rsid w:val="00834C43"/>
    <w:rsid w:val="00834C6C"/>
    <w:rsid w:val="00834CC0"/>
    <w:rsid w:val="00834DE9"/>
    <w:rsid w:val="00835157"/>
    <w:rsid w:val="0083601F"/>
    <w:rsid w:val="00836208"/>
    <w:rsid w:val="00840BDE"/>
    <w:rsid w:val="008410FB"/>
    <w:rsid w:val="008412EF"/>
    <w:rsid w:val="0084187C"/>
    <w:rsid w:val="00841F59"/>
    <w:rsid w:val="00842977"/>
    <w:rsid w:val="00843574"/>
    <w:rsid w:val="008452C2"/>
    <w:rsid w:val="008456B2"/>
    <w:rsid w:val="00845C6F"/>
    <w:rsid w:val="00846863"/>
    <w:rsid w:val="00847665"/>
    <w:rsid w:val="0085062D"/>
    <w:rsid w:val="00850AEE"/>
    <w:rsid w:val="0085145D"/>
    <w:rsid w:val="00852D9D"/>
    <w:rsid w:val="00853721"/>
    <w:rsid w:val="008544F6"/>
    <w:rsid w:val="008557BB"/>
    <w:rsid w:val="00856D5A"/>
    <w:rsid w:val="0085799D"/>
    <w:rsid w:val="00857AC1"/>
    <w:rsid w:val="00860C13"/>
    <w:rsid w:val="008611B8"/>
    <w:rsid w:val="00861276"/>
    <w:rsid w:val="00861632"/>
    <w:rsid w:val="00861A60"/>
    <w:rsid w:val="008626E8"/>
    <w:rsid w:val="00862F78"/>
    <w:rsid w:val="00863154"/>
    <w:rsid w:val="008636DB"/>
    <w:rsid w:val="008638ED"/>
    <w:rsid w:val="00863E9F"/>
    <w:rsid w:val="00864A24"/>
    <w:rsid w:val="00866E77"/>
    <w:rsid w:val="00867983"/>
    <w:rsid w:val="00867D7C"/>
    <w:rsid w:val="008710D0"/>
    <w:rsid w:val="008729F6"/>
    <w:rsid w:val="00873A64"/>
    <w:rsid w:val="008741A6"/>
    <w:rsid w:val="0087446F"/>
    <w:rsid w:val="0087498B"/>
    <w:rsid w:val="00874BEE"/>
    <w:rsid w:val="008751F2"/>
    <w:rsid w:val="0087530F"/>
    <w:rsid w:val="0087561E"/>
    <w:rsid w:val="00876865"/>
    <w:rsid w:val="008777D7"/>
    <w:rsid w:val="008814D3"/>
    <w:rsid w:val="00881854"/>
    <w:rsid w:val="00881A78"/>
    <w:rsid w:val="00881E93"/>
    <w:rsid w:val="00882163"/>
    <w:rsid w:val="00882278"/>
    <w:rsid w:val="008824AC"/>
    <w:rsid w:val="00882EAF"/>
    <w:rsid w:val="00883EB8"/>
    <w:rsid w:val="0088508B"/>
    <w:rsid w:val="008858A2"/>
    <w:rsid w:val="008861DC"/>
    <w:rsid w:val="00886724"/>
    <w:rsid w:val="00886C2E"/>
    <w:rsid w:val="008870E0"/>
    <w:rsid w:val="00887C47"/>
    <w:rsid w:val="0089032F"/>
    <w:rsid w:val="008908A4"/>
    <w:rsid w:val="00890DD2"/>
    <w:rsid w:val="008918A4"/>
    <w:rsid w:val="00891A88"/>
    <w:rsid w:val="008938BE"/>
    <w:rsid w:val="008943A8"/>
    <w:rsid w:val="0089449F"/>
    <w:rsid w:val="00894D8B"/>
    <w:rsid w:val="008950F1"/>
    <w:rsid w:val="00896027"/>
    <w:rsid w:val="00896682"/>
    <w:rsid w:val="008A019D"/>
    <w:rsid w:val="008A039E"/>
    <w:rsid w:val="008A21AB"/>
    <w:rsid w:val="008A2914"/>
    <w:rsid w:val="008A2CD2"/>
    <w:rsid w:val="008A3517"/>
    <w:rsid w:val="008A47B3"/>
    <w:rsid w:val="008A4BE5"/>
    <w:rsid w:val="008A5770"/>
    <w:rsid w:val="008A5A94"/>
    <w:rsid w:val="008A5BD4"/>
    <w:rsid w:val="008A6D52"/>
    <w:rsid w:val="008A77F8"/>
    <w:rsid w:val="008B0349"/>
    <w:rsid w:val="008B0607"/>
    <w:rsid w:val="008B1298"/>
    <w:rsid w:val="008B16D6"/>
    <w:rsid w:val="008B29B3"/>
    <w:rsid w:val="008B2CC8"/>
    <w:rsid w:val="008B2CCE"/>
    <w:rsid w:val="008B2E49"/>
    <w:rsid w:val="008B3438"/>
    <w:rsid w:val="008B7119"/>
    <w:rsid w:val="008B7183"/>
    <w:rsid w:val="008B748F"/>
    <w:rsid w:val="008B759B"/>
    <w:rsid w:val="008C1972"/>
    <w:rsid w:val="008C1DDF"/>
    <w:rsid w:val="008C22B5"/>
    <w:rsid w:val="008C3D40"/>
    <w:rsid w:val="008C4888"/>
    <w:rsid w:val="008C493D"/>
    <w:rsid w:val="008C6475"/>
    <w:rsid w:val="008C6F1B"/>
    <w:rsid w:val="008C6FF4"/>
    <w:rsid w:val="008C7A4C"/>
    <w:rsid w:val="008D0EB0"/>
    <w:rsid w:val="008D0EC9"/>
    <w:rsid w:val="008D31C1"/>
    <w:rsid w:val="008D3955"/>
    <w:rsid w:val="008D5FCD"/>
    <w:rsid w:val="008D66C4"/>
    <w:rsid w:val="008D6DDE"/>
    <w:rsid w:val="008D7739"/>
    <w:rsid w:val="008E008B"/>
    <w:rsid w:val="008E00BF"/>
    <w:rsid w:val="008E1BD8"/>
    <w:rsid w:val="008E2057"/>
    <w:rsid w:val="008E208E"/>
    <w:rsid w:val="008E351A"/>
    <w:rsid w:val="008E428A"/>
    <w:rsid w:val="008E4D5C"/>
    <w:rsid w:val="008E56D7"/>
    <w:rsid w:val="008E56D8"/>
    <w:rsid w:val="008E64DB"/>
    <w:rsid w:val="008E6CDF"/>
    <w:rsid w:val="008E6E17"/>
    <w:rsid w:val="008E73B5"/>
    <w:rsid w:val="008E767A"/>
    <w:rsid w:val="008E78B8"/>
    <w:rsid w:val="008F0049"/>
    <w:rsid w:val="008F007D"/>
    <w:rsid w:val="008F3F37"/>
    <w:rsid w:val="008F46CF"/>
    <w:rsid w:val="008F4CF8"/>
    <w:rsid w:val="008F542B"/>
    <w:rsid w:val="008F554C"/>
    <w:rsid w:val="008F6047"/>
    <w:rsid w:val="008F6200"/>
    <w:rsid w:val="008F6899"/>
    <w:rsid w:val="008F77B2"/>
    <w:rsid w:val="008F7B73"/>
    <w:rsid w:val="009000FA"/>
    <w:rsid w:val="00900650"/>
    <w:rsid w:val="00900F9E"/>
    <w:rsid w:val="009010CC"/>
    <w:rsid w:val="00901375"/>
    <w:rsid w:val="00901A13"/>
    <w:rsid w:val="00901BE2"/>
    <w:rsid w:val="0090209E"/>
    <w:rsid w:val="00902DC6"/>
    <w:rsid w:val="00904218"/>
    <w:rsid w:val="00904CF0"/>
    <w:rsid w:val="00904E8A"/>
    <w:rsid w:val="009055A1"/>
    <w:rsid w:val="009075B3"/>
    <w:rsid w:val="00907F0A"/>
    <w:rsid w:val="009104D1"/>
    <w:rsid w:val="00910B52"/>
    <w:rsid w:val="0091188F"/>
    <w:rsid w:val="00911F2D"/>
    <w:rsid w:val="009125DA"/>
    <w:rsid w:val="0091574D"/>
    <w:rsid w:val="00915C6A"/>
    <w:rsid w:val="009161EE"/>
    <w:rsid w:val="00916753"/>
    <w:rsid w:val="009168F8"/>
    <w:rsid w:val="00916F8F"/>
    <w:rsid w:val="009173EC"/>
    <w:rsid w:val="00917510"/>
    <w:rsid w:val="009209A0"/>
    <w:rsid w:val="00920FC6"/>
    <w:rsid w:val="0092346E"/>
    <w:rsid w:val="00924458"/>
    <w:rsid w:val="0092455C"/>
    <w:rsid w:val="00925466"/>
    <w:rsid w:val="0092569C"/>
    <w:rsid w:val="00926348"/>
    <w:rsid w:val="009265BA"/>
    <w:rsid w:val="009268A5"/>
    <w:rsid w:val="00927D41"/>
    <w:rsid w:val="009324D4"/>
    <w:rsid w:val="00932560"/>
    <w:rsid w:val="009327EB"/>
    <w:rsid w:val="009329AC"/>
    <w:rsid w:val="00932DF9"/>
    <w:rsid w:val="00933195"/>
    <w:rsid w:val="00934994"/>
    <w:rsid w:val="00935199"/>
    <w:rsid w:val="00935A7A"/>
    <w:rsid w:val="00935C49"/>
    <w:rsid w:val="0093635F"/>
    <w:rsid w:val="00937414"/>
    <w:rsid w:val="00940CEE"/>
    <w:rsid w:val="009425EB"/>
    <w:rsid w:val="0094292A"/>
    <w:rsid w:val="00942B5C"/>
    <w:rsid w:val="009432B0"/>
    <w:rsid w:val="00943F4F"/>
    <w:rsid w:val="00943FB9"/>
    <w:rsid w:val="00944370"/>
    <w:rsid w:val="0094443A"/>
    <w:rsid w:val="00944EF6"/>
    <w:rsid w:val="00944F9E"/>
    <w:rsid w:val="009456EE"/>
    <w:rsid w:val="009460AC"/>
    <w:rsid w:val="009465C2"/>
    <w:rsid w:val="00946A49"/>
    <w:rsid w:val="00950A3D"/>
    <w:rsid w:val="009521FB"/>
    <w:rsid w:val="009524E7"/>
    <w:rsid w:val="00952BDA"/>
    <w:rsid w:val="009539D7"/>
    <w:rsid w:val="0095414A"/>
    <w:rsid w:val="00956E47"/>
    <w:rsid w:val="00956EB9"/>
    <w:rsid w:val="00957798"/>
    <w:rsid w:val="00957CB8"/>
    <w:rsid w:val="00957E26"/>
    <w:rsid w:val="00957E49"/>
    <w:rsid w:val="0096089B"/>
    <w:rsid w:val="00960D24"/>
    <w:rsid w:val="009623AD"/>
    <w:rsid w:val="00963786"/>
    <w:rsid w:val="00963CB1"/>
    <w:rsid w:val="0096446C"/>
    <w:rsid w:val="00965303"/>
    <w:rsid w:val="00965EB5"/>
    <w:rsid w:val="00966624"/>
    <w:rsid w:val="009666AA"/>
    <w:rsid w:val="00966815"/>
    <w:rsid w:val="00966EDA"/>
    <w:rsid w:val="0096703C"/>
    <w:rsid w:val="00971DBA"/>
    <w:rsid w:val="00972B89"/>
    <w:rsid w:val="00972BFE"/>
    <w:rsid w:val="00972CD8"/>
    <w:rsid w:val="00973518"/>
    <w:rsid w:val="00973776"/>
    <w:rsid w:val="009749CB"/>
    <w:rsid w:val="00974A0A"/>
    <w:rsid w:val="009759B4"/>
    <w:rsid w:val="009767ED"/>
    <w:rsid w:val="00976F05"/>
    <w:rsid w:val="00976F76"/>
    <w:rsid w:val="009801FB"/>
    <w:rsid w:val="009816E7"/>
    <w:rsid w:val="009821F5"/>
    <w:rsid w:val="0098230D"/>
    <w:rsid w:val="00982BA1"/>
    <w:rsid w:val="00982F8C"/>
    <w:rsid w:val="009831AF"/>
    <w:rsid w:val="009831D5"/>
    <w:rsid w:val="0098330C"/>
    <w:rsid w:val="009840CE"/>
    <w:rsid w:val="00984E2B"/>
    <w:rsid w:val="00986FE0"/>
    <w:rsid w:val="009870B8"/>
    <w:rsid w:val="009875CC"/>
    <w:rsid w:val="00987B12"/>
    <w:rsid w:val="0099036F"/>
    <w:rsid w:val="009905DA"/>
    <w:rsid w:val="009911E7"/>
    <w:rsid w:val="00991F6D"/>
    <w:rsid w:val="00992AB2"/>
    <w:rsid w:val="0099429A"/>
    <w:rsid w:val="00994DAA"/>
    <w:rsid w:val="00996168"/>
    <w:rsid w:val="009976A1"/>
    <w:rsid w:val="00997B0D"/>
    <w:rsid w:val="00997B6C"/>
    <w:rsid w:val="00997F4C"/>
    <w:rsid w:val="009A0F85"/>
    <w:rsid w:val="009A1AD6"/>
    <w:rsid w:val="009A2838"/>
    <w:rsid w:val="009A3172"/>
    <w:rsid w:val="009A3B27"/>
    <w:rsid w:val="009A462A"/>
    <w:rsid w:val="009A4F60"/>
    <w:rsid w:val="009A6F05"/>
    <w:rsid w:val="009A7012"/>
    <w:rsid w:val="009A7AE0"/>
    <w:rsid w:val="009A7FA3"/>
    <w:rsid w:val="009B0A70"/>
    <w:rsid w:val="009B0BFD"/>
    <w:rsid w:val="009B1101"/>
    <w:rsid w:val="009B184D"/>
    <w:rsid w:val="009B23C4"/>
    <w:rsid w:val="009B23FD"/>
    <w:rsid w:val="009B245F"/>
    <w:rsid w:val="009B2A3A"/>
    <w:rsid w:val="009B3D46"/>
    <w:rsid w:val="009B46DB"/>
    <w:rsid w:val="009B5AF1"/>
    <w:rsid w:val="009B6079"/>
    <w:rsid w:val="009B6812"/>
    <w:rsid w:val="009B6D6F"/>
    <w:rsid w:val="009B6FB7"/>
    <w:rsid w:val="009B73F0"/>
    <w:rsid w:val="009B7481"/>
    <w:rsid w:val="009B7886"/>
    <w:rsid w:val="009C0AE7"/>
    <w:rsid w:val="009C233F"/>
    <w:rsid w:val="009C2B43"/>
    <w:rsid w:val="009C2E3B"/>
    <w:rsid w:val="009C2E4C"/>
    <w:rsid w:val="009C4213"/>
    <w:rsid w:val="009C4FF5"/>
    <w:rsid w:val="009C50ED"/>
    <w:rsid w:val="009C5585"/>
    <w:rsid w:val="009C63F4"/>
    <w:rsid w:val="009C64AE"/>
    <w:rsid w:val="009C6F9A"/>
    <w:rsid w:val="009C7213"/>
    <w:rsid w:val="009C78E4"/>
    <w:rsid w:val="009C7B05"/>
    <w:rsid w:val="009D1951"/>
    <w:rsid w:val="009D1DDA"/>
    <w:rsid w:val="009D20DE"/>
    <w:rsid w:val="009D2377"/>
    <w:rsid w:val="009D2CE6"/>
    <w:rsid w:val="009D33CC"/>
    <w:rsid w:val="009D389F"/>
    <w:rsid w:val="009D4479"/>
    <w:rsid w:val="009D483F"/>
    <w:rsid w:val="009D4BD1"/>
    <w:rsid w:val="009D5B08"/>
    <w:rsid w:val="009D6006"/>
    <w:rsid w:val="009D61B7"/>
    <w:rsid w:val="009E04E7"/>
    <w:rsid w:val="009E0B85"/>
    <w:rsid w:val="009E0DB3"/>
    <w:rsid w:val="009E0F74"/>
    <w:rsid w:val="009E1552"/>
    <w:rsid w:val="009E17AF"/>
    <w:rsid w:val="009E1B79"/>
    <w:rsid w:val="009E26F4"/>
    <w:rsid w:val="009E2943"/>
    <w:rsid w:val="009E5D34"/>
    <w:rsid w:val="009E5E02"/>
    <w:rsid w:val="009E600A"/>
    <w:rsid w:val="009E6107"/>
    <w:rsid w:val="009E72EA"/>
    <w:rsid w:val="009F02C5"/>
    <w:rsid w:val="009F0F46"/>
    <w:rsid w:val="009F0F79"/>
    <w:rsid w:val="009F1599"/>
    <w:rsid w:val="009F208B"/>
    <w:rsid w:val="009F21D5"/>
    <w:rsid w:val="009F2D7B"/>
    <w:rsid w:val="009F5108"/>
    <w:rsid w:val="009F53EF"/>
    <w:rsid w:val="009F561D"/>
    <w:rsid w:val="009F760E"/>
    <w:rsid w:val="009F7929"/>
    <w:rsid w:val="009F795B"/>
    <w:rsid w:val="00A003D4"/>
    <w:rsid w:val="00A005A0"/>
    <w:rsid w:val="00A0193F"/>
    <w:rsid w:val="00A0269E"/>
    <w:rsid w:val="00A059DC"/>
    <w:rsid w:val="00A05A53"/>
    <w:rsid w:val="00A07CF6"/>
    <w:rsid w:val="00A07FD3"/>
    <w:rsid w:val="00A108F0"/>
    <w:rsid w:val="00A10F30"/>
    <w:rsid w:val="00A11F66"/>
    <w:rsid w:val="00A12ADF"/>
    <w:rsid w:val="00A12D9B"/>
    <w:rsid w:val="00A134E5"/>
    <w:rsid w:val="00A139F1"/>
    <w:rsid w:val="00A13CCB"/>
    <w:rsid w:val="00A15822"/>
    <w:rsid w:val="00A15B77"/>
    <w:rsid w:val="00A166A8"/>
    <w:rsid w:val="00A16CA6"/>
    <w:rsid w:val="00A176EB"/>
    <w:rsid w:val="00A208E2"/>
    <w:rsid w:val="00A21151"/>
    <w:rsid w:val="00A21366"/>
    <w:rsid w:val="00A228B9"/>
    <w:rsid w:val="00A23622"/>
    <w:rsid w:val="00A251C0"/>
    <w:rsid w:val="00A25F9E"/>
    <w:rsid w:val="00A26151"/>
    <w:rsid w:val="00A3015D"/>
    <w:rsid w:val="00A30D3F"/>
    <w:rsid w:val="00A31D25"/>
    <w:rsid w:val="00A32AEC"/>
    <w:rsid w:val="00A347CB"/>
    <w:rsid w:val="00A353A4"/>
    <w:rsid w:val="00A3555A"/>
    <w:rsid w:val="00A35DFF"/>
    <w:rsid w:val="00A36982"/>
    <w:rsid w:val="00A37D4B"/>
    <w:rsid w:val="00A40ECB"/>
    <w:rsid w:val="00A41156"/>
    <w:rsid w:val="00A41FBB"/>
    <w:rsid w:val="00A43445"/>
    <w:rsid w:val="00A44908"/>
    <w:rsid w:val="00A4497A"/>
    <w:rsid w:val="00A44C6A"/>
    <w:rsid w:val="00A455D1"/>
    <w:rsid w:val="00A46137"/>
    <w:rsid w:val="00A4659E"/>
    <w:rsid w:val="00A466E4"/>
    <w:rsid w:val="00A501D0"/>
    <w:rsid w:val="00A50313"/>
    <w:rsid w:val="00A50598"/>
    <w:rsid w:val="00A506B3"/>
    <w:rsid w:val="00A50BA1"/>
    <w:rsid w:val="00A50FFA"/>
    <w:rsid w:val="00A51E58"/>
    <w:rsid w:val="00A53A61"/>
    <w:rsid w:val="00A547CF"/>
    <w:rsid w:val="00A54AA0"/>
    <w:rsid w:val="00A54EB9"/>
    <w:rsid w:val="00A5658F"/>
    <w:rsid w:val="00A56749"/>
    <w:rsid w:val="00A56C2B"/>
    <w:rsid w:val="00A571C8"/>
    <w:rsid w:val="00A57DA9"/>
    <w:rsid w:val="00A57FC9"/>
    <w:rsid w:val="00A600F3"/>
    <w:rsid w:val="00A61A0C"/>
    <w:rsid w:val="00A61E9D"/>
    <w:rsid w:val="00A642F5"/>
    <w:rsid w:val="00A646B0"/>
    <w:rsid w:val="00A648C5"/>
    <w:rsid w:val="00A648F5"/>
    <w:rsid w:val="00A649F4"/>
    <w:rsid w:val="00A64A87"/>
    <w:rsid w:val="00A64AB2"/>
    <w:rsid w:val="00A65AF1"/>
    <w:rsid w:val="00A669A7"/>
    <w:rsid w:val="00A66C76"/>
    <w:rsid w:val="00A67440"/>
    <w:rsid w:val="00A70147"/>
    <w:rsid w:val="00A70E88"/>
    <w:rsid w:val="00A711EA"/>
    <w:rsid w:val="00A7136F"/>
    <w:rsid w:val="00A71BCF"/>
    <w:rsid w:val="00A7268C"/>
    <w:rsid w:val="00A749D0"/>
    <w:rsid w:val="00A75273"/>
    <w:rsid w:val="00A754B1"/>
    <w:rsid w:val="00A7552D"/>
    <w:rsid w:val="00A81452"/>
    <w:rsid w:val="00A81DB2"/>
    <w:rsid w:val="00A824EE"/>
    <w:rsid w:val="00A8264F"/>
    <w:rsid w:val="00A836AD"/>
    <w:rsid w:val="00A84762"/>
    <w:rsid w:val="00A86078"/>
    <w:rsid w:val="00A86955"/>
    <w:rsid w:val="00A872D3"/>
    <w:rsid w:val="00A90E3B"/>
    <w:rsid w:val="00A91D78"/>
    <w:rsid w:val="00A92123"/>
    <w:rsid w:val="00A92575"/>
    <w:rsid w:val="00A93171"/>
    <w:rsid w:val="00A93847"/>
    <w:rsid w:val="00A96010"/>
    <w:rsid w:val="00A963CE"/>
    <w:rsid w:val="00A96F1F"/>
    <w:rsid w:val="00A97401"/>
    <w:rsid w:val="00AA1129"/>
    <w:rsid w:val="00AA17C4"/>
    <w:rsid w:val="00AA4D91"/>
    <w:rsid w:val="00AA5850"/>
    <w:rsid w:val="00AA67C9"/>
    <w:rsid w:val="00AA6E96"/>
    <w:rsid w:val="00AA7316"/>
    <w:rsid w:val="00AA7547"/>
    <w:rsid w:val="00AA79AB"/>
    <w:rsid w:val="00AA7A68"/>
    <w:rsid w:val="00AB093A"/>
    <w:rsid w:val="00AB1121"/>
    <w:rsid w:val="00AB2099"/>
    <w:rsid w:val="00AB2574"/>
    <w:rsid w:val="00AB2F56"/>
    <w:rsid w:val="00AB30B3"/>
    <w:rsid w:val="00AB367A"/>
    <w:rsid w:val="00AB40E3"/>
    <w:rsid w:val="00AB4964"/>
    <w:rsid w:val="00AB4ADD"/>
    <w:rsid w:val="00AB55F4"/>
    <w:rsid w:val="00AB68CE"/>
    <w:rsid w:val="00AB6B6F"/>
    <w:rsid w:val="00AB72F1"/>
    <w:rsid w:val="00AB74B9"/>
    <w:rsid w:val="00AB7F7F"/>
    <w:rsid w:val="00AC037A"/>
    <w:rsid w:val="00AC0B9C"/>
    <w:rsid w:val="00AC18F1"/>
    <w:rsid w:val="00AC3BF6"/>
    <w:rsid w:val="00AC3FB5"/>
    <w:rsid w:val="00AC4B95"/>
    <w:rsid w:val="00AC4ED7"/>
    <w:rsid w:val="00AC6A4C"/>
    <w:rsid w:val="00AC6C42"/>
    <w:rsid w:val="00AC7136"/>
    <w:rsid w:val="00AD3746"/>
    <w:rsid w:val="00AD3F60"/>
    <w:rsid w:val="00AD4538"/>
    <w:rsid w:val="00AD4E07"/>
    <w:rsid w:val="00AD66B6"/>
    <w:rsid w:val="00AD681C"/>
    <w:rsid w:val="00AE0049"/>
    <w:rsid w:val="00AE1528"/>
    <w:rsid w:val="00AE15D9"/>
    <w:rsid w:val="00AE1697"/>
    <w:rsid w:val="00AE20E8"/>
    <w:rsid w:val="00AE3051"/>
    <w:rsid w:val="00AE3191"/>
    <w:rsid w:val="00AE5131"/>
    <w:rsid w:val="00AE515C"/>
    <w:rsid w:val="00AE541B"/>
    <w:rsid w:val="00AE544D"/>
    <w:rsid w:val="00AE55D9"/>
    <w:rsid w:val="00AE5C9D"/>
    <w:rsid w:val="00AE708F"/>
    <w:rsid w:val="00AF042A"/>
    <w:rsid w:val="00AF0950"/>
    <w:rsid w:val="00AF1366"/>
    <w:rsid w:val="00AF240A"/>
    <w:rsid w:val="00AF3061"/>
    <w:rsid w:val="00AF4041"/>
    <w:rsid w:val="00AF4198"/>
    <w:rsid w:val="00AF49B0"/>
    <w:rsid w:val="00AF5950"/>
    <w:rsid w:val="00AF636E"/>
    <w:rsid w:val="00AF6701"/>
    <w:rsid w:val="00B00A01"/>
    <w:rsid w:val="00B0224A"/>
    <w:rsid w:val="00B026D3"/>
    <w:rsid w:val="00B0311D"/>
    <w:rsid w:val="00B03215"/>
    <w:rsid w:val="00B034E4"/>
    <w:rsid w:val="00B03F9B"/>
    <w:rsid w:val="00B04727"/>
    <w:rsid w:val="00B058B5"/>
    <w:rsid w:val="00B06090"/>
    <w:rsid w:val="00B07F44"/>
    <w:rsid w:val="00B13600"/>
    <w:rsid w:val="00B13AC2"/>
    <w:rsid w:val="00B1555D"/>
    <w:rsid w:val="00B15D7B"/>
    <w:rsid w:val="00B16BBE"/>
    <w:rsid w:val="00B226DD"/>
    <w:rsid w:val="00B23356"/>
    <w:rsid w:val="00B24422"/>
    <w:rsid w:val="00B246D2"/>
    <w:rsid w:val="00B24724"/>
    <w:rsid w:val="00B24964"/>
    <w:rsid w:val="00B24B7B"/>
    <w:rsid w:val="00B251B4"/>
    <w:rsid w:val="00B25D95"/>
    <w:rsid w:val="00B262C6"/>
    <w:rsid w:val="00B26498"/>
    <w:rsid w:val="00B27291"/>
    <w:rsid w:val="00B276AC"/>
    <w:rsid w:val="00B306A0"/>
    <w:rsid w:val="00B309AC"/>
    <w:rsid w:val="00B31F29"/>
    <w:rsid w:val="00B3201B"/>
    <w:rsid w:val="00B32D0E"/>
    <w:rsid w:val="00B33AF5"/>
    <w:rsid w:val="00B350A9"/>
    <w:rsid w:val="00B353D0"/>
    <w:rsid w:val="00B35C2A"/>
    <w:rsid w:val="00B35D4A"/>
    <w:rsid w:val="00B360D9"/>
    <w:rsid w:val="00B369D6"/>
    <w:rsid w:val="00B40196"/>
    <w:rsid w:val="00B407D1"/>
    <w:rsid w:val="00B41665"/>
    <w:rsid w:val="00B425FC"/>
    <w:rsid w:val="00B4294D"/>
    <w:rsid w:val="00B431EB"/>
    <w:rsid w:val="00B4359F"/>
    <w:rsid w:val="00B439A7"/>
    <w:rsid w:val="00B43E5B"/>
    <w:rsid w:val="00B4412F"/>
    <w:rsid w:val="00B44550"/>
    <w:rsid w:val="00B445CD"/>
    <w:rsid w:val="00B44E9E"/>
    <w:rsid w:val="00B45734"/>
    <w:rsid w:val="00B467A0"/>
    <w:rsid w:val="00B471F8"/>
    <w:rsid w:val="00B47560"/>
    <w:rsid w:val="00B50CF6"/>
    <w:rsid w:val="00B5146B"/>
    <w:rsid w:val="00B523D6"/>
    <w:rsid w:val="00B5284A"/>
    <w:rsid w:val="00B52BA4"/>
    <w:rsid w:val="00B542AE"/>
    <w:rsid w:val="00B54DC8"/>
    <w:rsid w:val="00B571FF"/>
    <w:rsid w:val="00B600AD"/>
    <w:rsid w:val="00B60C91"/>
    <w:rsid w:val="00B60E04"/>
    <w:rsid w:val="00B614F7"/>
    <w:rsid w:val="00B61505"/>
    <w:rsid w:val="00B621D1"/>
    <w:rsid w:val="00B624B3"/>
    <w:rsid w:val="00B63458"/>
    <w:rsid w:val="00B645AF"/>
    <w:rsid w:val="00B66100"/>
    <w:rsid w:val="00B669A5"/>
    <w:rsid w:val="00B66CE9"/>
    <w:rsid w:val="00B70251"/>
    <w:rsid w:val="00B70624"/>
    <w:rsid w:val="00B71199"/>
    <w:rsid w:val="00B7175E"/>
    <w:rsid w:val="00B72FB1"/>
    <w:rsid w:val="00B73FA8"/>
    <w:rsid w:val="00B74843"/>
    <w:rsid w:val="00B75550"/>
    <w:rsid w:val="00B757E4"/>
    <w:rsid w:val="00B75BE3"/>
    <w:rsid w:val="00B75D46"/>
    <w:rsid w:val="00B76955"/>
    <w:rsid w:val="00B772DA"/>
    <w:rsid w:val="00B773BC"/>
    <w:rsid w:val="00B77808"/>
    <w:rsid w:val="00B7797D"/>
    <w:rsid w:val="00B80540"/>
    <w:rsid w:val="00B80A0E"/>
    <w:rsid w:val="00B811F0"/>
    <w:rsid w:val="00B8192E"/>
    <w:rsid w:val="00B824B9"/>
    <w:rsid w:val="00B82632"/>
    <w:rsid w:val="00B82898"/>
    <w:rsid w:val="00B82F08"/>
    <w:rsid w:val="00B83E78"/>
    <w:rsid w:val="00B8461B"/>
    <w:rsid w:val="00B84FE7"/>
    <w:rsid w:val="00B85650"/>
    <w:rsid w:val="00B87FCD"/>
    <w:rsid w:val="00B9008A"/>
    <w:rsid w:val="00B903EF"/>
    <w:rsid w:val="00B90E39"/>
    <w:rsid w:val="00B92511"/>
    <w:rsid w:val="00B92A57"/>
    <w:rsid w:val="00B93E5E"/>
    <w:rsid w:val="00B93F93"/>
    <w:rsid w:val="00B95332"/>
    <w:rsid w:val="00B95E17"/>
    <w:rsid w:val="00B95EFE"/>
    <w:rsid w:val="00B9610C"/>
    <w:rsid w:val="00B96342"/>
    <w:rsid w:val="00BA0A84"/>
    <w:rsid w:val="00BA0ADC"/>
    <w:rsid w:val="00BA1D2C"/>
    <w:rsid w:val="00BA26BB"/>
    <w:rsid w:val="00BA365E"/>
    <w:rsid w:val="00BA3767"/>
    <w:rsid w:val="00BA3951"/>
    <w:rsid w:val="00BA44C4"/>
    <w:rsid w:val="00BA6C55"/>
    <w:rsid w:val="00BA6DBA"/>
    <w:rsid w:val="00BA7072"/>
    <w:rsid w:val="00BA783A"/>
    <w:rsid w:val="00BA7D82"/>
    <w:rsid w:val="00BB0404"/>
    <w:rsid w:val="00BB0AB3"/>
    <w:rsid w:val="00BB0D6A"/>
    <w:rsid w:val="00BB302F"/>
    <w:rsid w:val="00BB3EE9"/>
    <w:rsid w:val="00BB4052"/>
    <w:rsid w:val="00BB4164"/>
    <w:rsid w:val="00BB432B"/>
    <w:rsid w:val="00BB5724"/>
    <w:rsid w:val="00BB694C"/>
    <w:rsid w:val="00BC0A3A"/>
    <w:rsid w:val="00BC0DE0"/>
    <w:rsid w:val="00BC0EE8"/>
    <w:rsid w:val="00BC14AB"/>
    <w:rsid w:val="00BC2B83"/>
    <w:rsid w:val="00BC40BB"/>
    <w:rsid w:val="00BC4BFF"/>
    <w:rsid w:val="00BC51F2"/>
    <w:rsid w:val="00BC5A5C"/>
    <w:rsid w:val="00BC7D10"/>
    <w:rsid w:val="00BC7DE2"/>
    <w:rsid w:val="00BD03DE"/>
    <w:rsid w:val="00BD0899"/>
    <w:rsid w:val="00BD0B72"/>
    <w:rsid w:val="00BD1218"/>
    <w:rsid w:val="00BD123A"/>
    <w:rsid w:val="00BD167A"/>
    <w:rsid w:val="00BD17A5"/>
    <w:rsid w:val="00BD1C32"/>
    <w:rsid w:val="00BD2560"/>
    <w:rsid w:val="00BD31AB"/>
    <w:rsid w:val="00BD3FFD"/>
    <w:rsid w:val="00BD439A"/>
    <w:rsid w:val="00BD4604"/>
    <w:rsid w:val="00BD4638"/>
    <w:rsid w:val="00BD5A5A"/>
    <w:rsid w:val="00BD5D24"/>
    <w:rsid w:val="00BD7299"/>
    <w:rsid w:val="00BD73D0"/>
    <w:rsid w:val="00BD7874"/>
    <w:rsid w:val="00BE1011"/>
    <w:rsid w:val="00BE155D"/>
    <w:rsid w:val="00BE16CB"/>
    <w:rsid w:val="00BE1B32"/>
    <w:rsid w:val="00BE20BF"/>
    <w:rsid w:val="00BE40BB"/>
    <w:rsid w:val="00BE4507"/>
    <w:rsid w:val="00BE489E"/>
    <w:rsid w:val="00BE4E1A"/>
    <w:rsid w:val="00BE5729"/>
    <w:rsid w:val="00BE7BA6"/>
    <w:rsid w:val="00BF098B"/>
    <w:rsid w:val="00BF0D20"/>
    <w:rsid w:val="00BF13D7"/>
    <w:rsid w:val="00BF21A9"/>
    <w:rsid w:val="00BF2333"/>
    <w:rsid w:val="00BF2638"/>
    <w:rsid w:val="00BF3E96"/>
    <w:rsid w:val="00BF3FBC"/>
    <w:rsid w:val="00BF4307"/>
    <w:rsid w:val="00BF4503"/>
    <w:rsid w:val="00BF5083"/>
    <w:rsid w:val="00BF5735"/>
    <w:rsid w:val="00BF616F"/>
    <w:rsid w:val="00BF755D"/>
    <w:rsid w:val="00BF779D"/>
    <w:rsid w:val="00BF7BF2"/>
    <w:rsid w:val="00C0156E"/>
    <w:rsid w:val="00C0176C"/>
    <w:rsid w:val="00C02A45"/>
    <w:rsid w:val="00C055CB"/>
    <w:rsid w:val="00C05A44"/>
    <w:rsid w:val="00C070E6"/>
    <w:rsid w:val="00C0738F"/>
    <w:rsid w:val="00C07971"/>
    <w:rsid w:val="00C07C6A"/>
    <w:rsid w:val="00C102CC"/>
    <w:rsid w:val="00C105BB"/>
    <w:rsid w:val="00C10BD9"/>
    <w:rsid w:val="00C12F31"/>
    <w:rsid w:val="00C13C15"/>
    <w:rsid w:val="00C14453"/>
    <w:rsid w:val="00C15F72"/>
    <w:rsid w:val="00C176C5"/>
    <w:rsid w:val="00C178E8"/>
    <w:rsid w:val="00C17CE0"/>
    <w:rsid w:val="00C17F6A"/>
    <w:rsid w:val="00C20019"/>
    <w:rsid w:val="00C208F8"/>
    <w:rsid w:val="00C20C27"/>
    <w:rsid w:val="00C22076"/>
    <w:rsid w:val="00C22486"/>
    <w:rsid w:val="00C22B03"/>
    <w:rsid w:val="00C22C2B"/>
    <w:rsid w:val="00C24B0A"/>
    <w:rsid w:val="00C26BF2"/>
    <w:rsid w:val="00C2770F"/>
    <w:rsid w:val="00C308A6"/>
    <w:rsid w:val="00C31B42"/>
    <w:rsid w:val="00C33C88"/>
    <w:rsid w:val="00C34218"/>
    <w:rsid w:val="00C35F7F"/>
    <w:rsid w:val="00C37B0F"/>
    <w:rsid w:val="00C37C49"/>
    <w:rsid w:val="00C40615"/>
    <w:rsid w:val="00C41214"/>
    <w:rsid w:val="00C41BE6"/>
    <w:rsid w:val="00C4325D"/>
    <w:rsid w:val="00C4326D"/>
    <w:rsid w:val="00C439EA"/>
    <w:rsid w:val="00C4492E"/>
    <w:rsid w:val="00C45332"/>
    <w:rsid w:val="00C4560B"/>
    <w:rsid w:val="00C462F7"/>
    <w:rsid w:val="00C46EC3"/>
    <w:rsid w:val="00C47DCF"/>
    <w:rsid w:val="00C50F56"/>
    <w:rsid w:val="00C51EDD"/>
    <w:rsid w:val="00C51FAF"/>
    <w:rsid w:val="00C529D7"/>
    <w:rsid w:val="00C53425"/>
    <w:rsid w:val="00C54C56"/>
    <w:rsid w:val="00C55364"/>
    <w:rsid w:val="00C57DEB"/>
    <w:rsid w:val="00C6012D"/>
    <w:rsid w:val="00C60222"/>
    <w:rsid w:val="00C60EB5"/>
    <w:rsid w:val="00C646B5"/>
    <w:rsid w:val="00C647ED"/>
    <w:rsid w:val="00C65075"/>
    <w:rsid w:val="00C65559"/>
    <w:rsid w:val="00C6693F"/>
    <w:rsid w:val="00C66B83"/>
    <w:rsid w:val="00C66D06"/>
    <w:rsid w:val="00C67F0E"/>
    <w:rsid w:val="00C700B7"/>
    <w:rsid w:val="00C70179"/>
    <w:rsid w:val="00C7059F"/>
    <w:rsid w:val="00C710CD"/>
    <w:rsid w:val="00C7210E"/>
    <w:rsid w:val="00C73C9E"/>
    <w:rsid w:val="00C75A27"/>
    <w:rsid w:val="00C75B92"/>
    <w:rsid w:val="00C75BCA"/>
    <w:rsid w:val="00C76017"/>
    <w:rsid w:val="00C764A2"/>
    <w:rsid w:val="00C76A0A"/>
    <w:rsid w:val="00C76B7A"/>
    <w:rsid w:val="00C816BF"/>
    <w:rsid w:val="00C81D09"/>
    <w:rsid w:val="00C81F80"/>
    <w:rsid w:val="00C81F8A"/>
    <w:rsid w:val="00C8284A"/>
    <w:rsid w:val="00C82E63"/>
    <w:rsid w:val="00C839D3"/>
    <w:rsid w:val="00C849DC"/>
    <w:rsid w:val="00C85DB3"/>
    <w:rsid w:val="00C86281"/>
    <w:rsid w:val="00C86ABA"/>
    <w:rsid w:val="00C86FE3"/>
    <w:rsid w:val="00C87F9A"/>
    <w:rsid w:val="00C90054"/>
    <w:rsid w:val="00C91571"/>
    <w:rsid w:val="00C91E46"/>
    <w:rsid w:val="00C92FCC"/>
    <w:rsid w:val="00C931EE"/>
    <w:rsid w:val="00C93F8B"/>
    <w:rsid w:val="00C948FD"/>
    <w:rsid w:val="00C949D2"/>
    <w:rsid w:val="00C94E71"/>
    <w:rsid w:val="00C95E86"/>
    <w:rsid w:val="00C96469"/>
    <w:rsid w:val="00C97214"/>
    <w:rsid w:val="00C9765E"/>
    <w:rsid w:val="00CA0427"/>
    <w:rsid w:val="00CA0BAF"/>
    <w:rsid w:val="00CA0D4B"/>
    <w:rsid w:val="00CA26BD"/>
    <w:rsid w:val="00CA3CE2"/>
    <w:rsid w:val="00CA3CE5"/>
    <w:rsid w:val="00CA4120"/>
    <w:rsid w:val="00CA4319"/>
    <w:rsid w:val="00CA4751"/>
    <w:rsid w:val="00CA57A8"/>
    <w:rsid w:val="00CA5EC2"/>
    <w:rsid w:val="00CA629C"/>
    <w:rsid w:val="00CA646F"/>
    <w:rsid w:val="00CA64D6"/>
    <w:rsid w:val="00CA6BFC"/>
    <w:rsid w:val="00CA7B8E"/>
    <w:rsid w:val="00CA7BBF"/>
    <w:rsid w:val="00CB109A"/>
    <w:rsid w:val="00CB1A72"/>
    <w:rsid w:val="00CB2313"/>
    <w:rsid w:val="00CB231B"/>
    <w:rsid w:val="00CB26C7"/>
    <w:rsid w:val="00CB382B"/>
    <w:rsid w:val="00CB402D"/>
    <w:rsid w:val="00CB4998"/>
    <w:rsid w:val="00CB54A2"/>
    <w:rsid w:val="00CB5525"/>
    <w:rsid w:val="00CB5B93"/>
    <w:rsid w:val="00CB6F0C"/>
    <w:rsid w:val="00CB7D39"/>
    <w:rsid w:val="00CC12D6"/>
    <w:rsid w:val="00CC182C"/>
    <w:rsid w:val="00CC22C1"/>
    <w:rsid w:val="00CC2BEB"/>
    <w:rsid w:val="00CC407E"/>
    <w:rsid w:val="00CC47F8"/>
    <w:rsid w:val="00CC7032"/>
    <w:rsid w:val="00CC7034"/>
    <w:rsid w:val="00CD12A6"/>
    <w:rsid w:val="00CD293A"/>
    <w:rsid w:val="00CD47E1"/>
    <w:rsid w:val="00CD509F"/>
    <w:rsid w:val="00CD77E5"/>
    <w:rsid w:val="00CE0DEE"/>
    <w:rsid w:val="00CE2A8F"/>
    <w:rsid w:val="00CE377A"/>
    <w:rsid w:val="00CE3EE8"/>
    <w:rsid w:val="00CE4092"/>
    <w:rsid w:val="00CE473E"/>
    <w:rsid w:val="00CE586F"/>
    <w:rsid w:val="00CE65DD"/>
    <w:rsid w:val="00CE7A45"/>
    <w:rsid w:val="00CF00D0"/>
    <w:rsid w:val="00CF19E6"/>
    <w:rsid w:val="00CF2C94"/>
    <w:rsid w:val="00CF338E"/>
    <w:rsid w:val="00CF4395"/>
    <w:rsid w:val="00CF4583"/>
    <w:rsid w:val="00CF4715"/>
    <w:rsid w:val="00CF5872"/>
    <w:rsid w:val="00CF58C6"/>
    <w:rsid w:val="00CF61DA"/>
    <w:rsid w:val="00CF62AC"/>
    <w:rsid w:val="00CF6C54"/>
    <w:rsid w:val="00D006B9"/>
    <w:rsid w:val="00D00A97"/>
    <w:rsid w:val="00D00DCC"/>
    <w:rsid w:val="00D0107E"/>
    <w:rsid w:val="00D011D4"/>
    <w:rsid w:val="00D01776"/>
    <w:rsid w:val="00D0259B"/>
    <w:rsid w:val="00D02E46"/>
    <w:rsid w:val="00D03A26"/>
    <w:rsid w:val="00D03BE1"/>
    <w:rsid w:val="00D04A2B"/>
    <w:rsid w:val="00D04AD0"/>
    <w:rsid w:val="00D0525E"/>
    <w:rsid w:val="00D06470"/>
    <w:rsid w:val="00D06D3D"/>
    <w:rsid w:val="00D06EDD"/>
    <w:rsid w:val="00D10083"/>
    <w:rsid w:val="00D128D9"/>
    <w:rsid w:val="00D14CF7"/>
    <w:rsid w:val="00D151AC"/>
    <w:rsid w:val="00D154EE"/>
    <w:rsid w:val="00D15EF4"/>
    <w:rsid w:val="00D16BB0"/>
    <w:rsid w:val="00D17353"/>
    <w:rsid w:val="00D179C1"/>
    <w:rsid w:val="00D21A66"/>
    <w:rsid w:val="00D22622"/>
    <w:rsid w:val="00D227F7"/>
    <w:rsid w:val="00D2341A"/>
    <w:rsid w:val="00D2380C"/>
    <w:rsid w:val="00D23F60"/>
    <w:rsid w:val="00D24A96"/>
    <w:rsid w:val="00D2655A"/>
    <w:rsid w:val="00D265DE"/>
    <w:rsid w:val="00D272A3"/>
    <w:rsid w:val="00D308F2"/>
    <w:rsid w:val="00D30B8D"/>
    <w:rsid w:val="00D3138F"/>
    <w:rsid w:val="00D318DD"/>
    <w:rsid w:val="00D33384"/>
    <w:rsid w:val="00D33839"/>
    <w:rsid w:val="00D33C09"/>
    <w:rsid w:val="00D33F92"/>
    <w:rsid w:val="00D34050"/>
    <w:rsid w:val="00D345CE"/>
    <w:rsid w:val="00D348F2"/>
    <w:rsid w:val="00D35B63"/>
    <w:rsid w:val="00D40192"/>
    <w:rsid w:val="00D4096B"/>
    <w:rsid w:val="00D40C07"/>
    <w:rsid w:val="00D418A0"/>
    <w:rsid w:val="00D41E77"/>
    <w:rsid w:val="00D425B7"/>
    <w:rsid w:val="00D42D5E"/>
    <w:rsid w:val="00D439F7"/>
    <w:rsid w:val="00D43D6A"/>
    <w:rsid w:val="00D440F1"/>
    <w:rsid w:val="00D442A1"/>
    <w:rsid w:val="00D45A75"/>
    <w:rsid w:val="00D460F4"/>
    <w:rsid w:val="00D47279"/>
    <w:rsid w:val="00D47798"/>
    <w:rsid w:val="00D500E1"/>
    <w:rsid w:val="00D5100D"/>
    <w:rsid w:val="00D51A64"/>
    <w:rsid w:val="00D53163"/>
    <w:rsid w:val="00D5346A"/>
    <w:rsid w:val="00D53683"/>
    <w:rsid w:val="00D536B8"/>
    <w:rsid w:val="00D53F0A"/>
    <w:rsid w:val="00D54A39"/>
    <w:rsid w:val="00D54B2B"/>
    <w:rsid w:val="00D54E80"/>
    <w:rsid w:val="00D5581E"/>
    <w:rsid w:val="00D55B4A"/>
    <w:rsid w:val="00D561B4"/>
    <w:rsid w:val="00D566BD"/>
    <w:rsid w:val="00D57205"/>
    <w:rsid w:val="00D613FB"/>
    <w:rsid w:val="00D61493"/>
    <w:rsid w:val="00D618D3"/>
    <w:rsid w:val="00D621D4"/>
    <w:rsid w:val="00D62F87"/>
    <w:rsid w:val="00D64932"/>
    <w:rsid w:val="00D64962"/>
    <w:rsid w:val="00D64AAC"/>
    <w:rsid w:val="00D65778"/>
    <w:rsid w:val="00D667ED"/>
    <w:rsid w:val="00D673AA"/>
    <w:rsid w:val="00D70C4F"/>
    <w:rsid w:val="00D70E0E"/>
    <w:rsid w:val="00D71702"/>
    <w:rsid w:val="00D718EB"/>
    <w:rsid w:val="00D71CA9"/>
    <w:rsid w:val="00D7201E"/>
    <w:rsid w:val="00D72751"/>
    <w:rsid w:val="00D7381B"/>
    <w:rsid w:val="00D739F3"/>
    <w:rsid w:val="00D73FE5"/>
    <w:rsid w:val="00D74557"/>
    <w:rsid w:val="00D755D2"/>
    <w:rsid w:val="00D76FD9"/>
    <w:rsid w:val="00D772AA"/>
    <w:rsid w:val="00D80124"/>
    <w:rsid w:val="00D8071A"/>
    <w:rsid w:val="00D81924"/>
    <w:rsid w:val="00D81E61"/>
    <w:rsid w:val="00D83310"/>
    <w:rsid w:val="00D83600"/>
    <w:rsid w:val="00D857C6"/>
    <w:rsid w:val="00D86840"/>
    <w:rsid w:val="00D86E4A"/>
    <w:rsid w:val="00D86EE1"/>
    <w:rsid w:val="00D90518"/>
    <w:rsid w:val="00D90E05"/>
    <w:rsid w:val="00D91457"/>
    <w:rsid w:val="00D916A9"/>
    <w:rsid w:val="00D92EA5"/>
    <w:rsid w:val="00D93E48"/>
    <w:rsid w:val="00D93E81"/>
    <w:rsid w:val="00D95AC0"/>
    <w:rsid w:val="00DA0B33"/>
    <w:rsid w:val="00DA1683"/>
    <w:rsid w:val="00DA1FE4"/>
    <w:rsid w:val="00DA2F3A"/>
    <w:rsid w:val="00DA3E35"/>
    <w:rsid w:val="00DA3F3D"/>
    <w:rsid w:val="00DA4AA0"/>
    <w:rsid w:val="00DA5A49"/>
    <w:rsid w:val="00DB0631"/>
    <w:rsid w:val="00DB0A89"/>
    <w:rsid w:val="00DB2091"/>
    <w:rsid w:val="00DB2F69"/>
    <w:rsid w:val="00DB45BE"/>
    <w:rsid w:val="00DB5CC0"/>
    <w:rsid w:val="00DB5E0C"/>
    <w:rsid w:val="00DB79DC"/>
    <w:rsid w:val="00DB7BFF"/>
    <w:rsid w:val="00DC02C0"/>
    <w:rsid w:val="00DC10A2"/>
    <w:rsid w:val="00DC13F6"/>
    <w:rsid w:val="00DC164C"/>
    <w:rsid w:val="00DC25BE"/>
    <w:rsid w:val="00DC278F"/>
    <w:rsid w:val="00DC330B"/>
    <w:rsid w:val="00DC42A1"/>
    <w:rsid w:val="00DC4330"/>
    <w:rsid w:val="00DC5FA6"/>
    <w:rsid w:val="00DC66AD"/>
    <w:rsid w:val="00DC68DC"/>
    <w:rsid w:val="00DD01BA"/>
    <w:rsid w:val="00DD0C22"/>
    <w:rsid w:val="00DD12CE"/>
    <w:rsid w:val="00DD1DB1"/>
    <w:rsid w:val="00DD28DC"/>
    <w:rsid w:val="00DD3D75"/>
    <w:rsid w:val="00DD3DB3"/>
    <w:rsid w:val="00DD4164"/>
    <w:rsid w:val="00DD4D22"/>
    <w:rsid w:val="00DD4E3F"/>
    <w:rsid w:val="00DD576E"/>
    <w:rsid w:val="00DD6250"/>
    <w:rsid w:val="00DD6F0D"/>
    <w:rsid w:val="00DE1AB0"/>
    <w:rsid w:val="00DE1D8F"/>
    <w:rsid w:val="00DE2809"/>
    <w:rsid w:val="00DE2CDE"/>
    <w:rsid w:val="00DE4749"/>
    <w:rsid w:val="00DE7062"/>
    <w:rsid w:val="00DE784A"/>
    <w:rsid w:val="00DF083D"/>
    <w:rsid w:val="00DF287F"/>
    <w:rsid w:val="00DF31EA"/>
    <w:rsid w:val="00DF387B"/>
    <w:rsid w:val="00DF3918"/>
    <w:rsid w:val="00DF45B6"/>
    <w:rsid w:val="00DF5BAB"/>
    <w:rsid w:val="00DF5E25"/>
    <w:rsid w:val="00DF74BA"/>
    <w:rsid w:val="00DF7554"/>
    <w:rsid w:val="00E00F72"/>
    <w:rsid w:val="00E01D9F"/>
    <w:rsid w:val="00E03789"/>
    <w:rsid w:val="00E03F6F"/>
    <w:rsid w:val="00E0405A"/>
    <w:rsid w:val="00E04269"/>
    <w:rsid w:val="00E10447"/>
    <w:rsid w:val="00E11BB7"/>
    <w:rsid w:val="00E11F25"/>
    <w:rsid w:val="00E12775"/>
    <w:rsid w:val="00E12997"/>
    <w:rsid w:val="00E129A5"/>
    <w:rsid w:val="00E12B46"/>
    <w:rsid w:val="00E1372E"/>
    <w:rsid w:val="00E13DFB"/>
    <w:rsid w:val="00E15AC5"/>
    <w:rsid w:val="00E1621F"/>
    <w:rsid w:val="00E1729E"/>
    <w:rsid w:val="00E2041A"/>
    <w:rsid w:val="00E20FD4"/>
    <w:rsid w:val="00E23AF9"/>
    <w:rsid w:val="00E25071"/>
    <w:rsid w:val="00E2754C"/>
    <w:rsid w:val="00E27631"/>
    <w:rsid w:val="00E27765"/>
    <w:rsid w:val="00E279F6"/>
    <w:rsid w:val="00E30077"/>
    <w:rsid w:val="00E30ADA"/>
    <w:rsid w:val="00E321D5"/>
    <w:rsid w:val="00E32842"/>
    <w:rsid w:val="00E329E6"/>
    <w:rsid w:val="00E32E33"/>
    <w:rsid w:val="00E33439"/>
    <w:rsid w:val="00E33547"/>
    <w:rsid w:val="00E33794"/>
    <w:rsid w:val="00E34570"/>
    <w:rsid w:val="00E34A3A"/>
    <w:rsid w:val="00E40A74"/>
    <w:rsid w:val="00E40EEC"/>
    <w:rsid w:val="00E41944"/>
    <w:rsid w:val="00E41F1C"/>
    <w:rsid w:val="00E42B88"/>
    <w:rsid w:val="00E42C7E"/>
    <w:rsid w:val="00E42FDD"/>
    <w:rsid w:val="00E43529"/>
    <w:rsid w:val="00E44E54"/>
    <w:rsid w:val="00E45FFD"/>
    <w:rsid w:val="00E4729F"/>
    <w:rsid w:val="00E505C6"/>
    <w:rsid w:val="00E52DBA"/>
    <w:rsid w:val="00E52E7C"/>
    <w:rsid w:val="00E52EF2"/>
    <w:rsid w:val="00E5324B"/>
    <w:rsid w:val="00E54A60"/>
    <w:rsid w:val="00E55467"/>
    <w:rsid w:val="00E55B4F"/>
    <w:rsid w:val="00E56BB1"/>
    <w:rsid w:val="00E56DC9"/>
    <w:rsid w:val="00E57CEB"/>
    <w:rsid w:val="00E60143"/>
    <w:rsid w:val="00E60172"/>
    <w:rsid w:val="00E614A6"/>
    <w:rsid w:val="00E61B65"/>
    <w:rsid w:val="00E61C58"/>
    <w:rsid w:val="00E64265"/>
    <w:rsid w:val="00E6479A"/>
    <w:rsid w:val="00E707E7"/>
    <w:rsid w:val="00E713C6"/>
    <w:rsid w:val="00E723B7"/>
    <w:rsid w:val="00E72587"/>
    <w:rsid w:val="00E72CD2"/>
    <w:rsid w:val="00E73B80"/>
    <w:rsid w:val="00E74273"/>
    <w:rsid w:val="00E74AD3"/>
    <w:rsid w:val="00E74C26"/>
    <w:rsid w:val="00E750DE"/>
    <w:rsid w:val="00E764A4"/>
    <w:rsid w:val="00E76A87"/>
    <w:rsid w:val="00E771F3"/>
    <w:rsid w:val="00E77A80"/>
    <w:rsid w:val="00E809CB"/>
    <w:rsid w:val="00E80C67"/>
    <w:rsid w:val="00E816CE"/>
    <w:rsid w:val="00E81A88"/>
    <w:rsid w:val="00E81D19"/>
    <w:rsid w:val="00E821D4"/>
    <w:rsid w:val="00E82CF3"/>
    <w:rsid w:val="00E830B7"/>
    <w:rsid w:val="00E8325B"/>
    <w:rsid w:val="00E83BBB"/>
    <w:rsid w:val="00E84AB2"/>
    <w:rsid w:val="00E85264"/>
    <w:rsid w:val="00E856ED"/>
    <w:rsid w:val="00E85880"/>
    <w:rsid w:val="00E85CA7"/>
    <w:rsid w:val="00E8764B"/>
    <w:rsid w:val="00E87709"/>
    <w:rsid w:val="00E8798B"/>
    <w:rsid w:val="00E879F6"/>
    <w:rsid w:val="00E902E7"/>
    <w:rsid w:val="00E908C4"/>
    <w:rsid w:val="00E90D1D"/>
    <w:rsid w:val="00E90D8E"/>
    <w:rsid w:val="00E91109"/>
    <w:rsid w:val="00E91422"/>
    <w:rsid w:val="00E91CE1"/>
    <w:rsid w:val="00E921FA"/>
    <w:rsid w:val="00E92288"/>
    <w:rsid w:val="00E9318E"/>
    <w:rsid w:val="00E93AA2"/>
    <w:rsid w:val="00E93E6D"/>
    <w:rsid w:val="00E95DFF"/>
    <w:rsid w:val="00E960CA"/>
    <w:rsid w:val="00E978C4"/>
    <w:rsid w:val="00EA00C9"/>
    <w:rsid w:val="00EA0C09"/>
    <w:rsid w:val="00EA0EB5"/>
    <w:rsid w:val="00EA1982"/>
    <w:rsid w:val="00EA2C94"/>
    <w:rsid w:val="00EA319D"/>
    <w:rsid w:val="00EA4571"/>
    <w:rsid w:val="00EA4614"/>
    <w:rsid w:val="00EA5725"/>
    <w:rsid w:val="00EA7721"/>
    <w:rsid w:val="00EA7BDD"/>
    <w:rsid w:val="00EB0220"/>
    <w:rsid w:val="00EB0540"/>
    <w:rsid w:val="00EB10C1"/>
    <w:rsid w:val="00EB1D21"/>
    <w:rsid w:val="00EB2402"/>
    <w:rsid w:val="00EB279A"/>
    <w:rsid w:val="00EB3B0D"/>
    <w:rsid w:val="00EB3B36"/>
    <w:rsid w:val="00EB3B5F"/>
    <w:rsid w:val="00EB52FD"/>
    <w:rsid w:val="00EB5384"/>
    <w:rsid w:val="00EB5DAF"/>
    <w:rsid w:val="00EB6190"/>
    <w:rsid w:val="00EB6BA5"/>
    <w:rsid w:val="00EB6EE4"/>
    <w:rsid w:val="00EB7571"/>
    <w:rsid w:val="00EB78BA"/>
    <w:rsid w:val="00EB7D4A"/>
    <w:rsid w:val="00EC1072"/>
    <w:rsid w:val="00EC1339"/>
    <w:rsid w:val="00EC1FCF"/>
    <w:rsid w:val="00EC29B8"/>
    <w:rsid w:val="00EC2BAA"/>
    <w:rsid w:val="00EC2DDC"/>
    <w:rsid w:val="00EC310E"/>
    <w:rsid w:val="00EC3C98"/>
    <w:rsid w:val="00EC3DEF"/>
    <w:rsid w:val="00EC4652"/>
    <w:rsid w:val="00EC533C"/>
    <w:rsid w:val="00EC5EBA"/>
    <w:rsid w:val="00EC67AE"/>
    <w:rsid w:val="00EC6BE5"/>
    <w:rsid w:val="00EC7713"/>
    <w:rsid w:val="00ED104F"/>
    <w:rsid w:val="00ED208C"/>
    <w:rsid w:val="00ED25A5"/>
    <w:rsid w:val="00ED28D8"/>
    <w:rsid w:val="00ED3424"/>
    <w:rsid w:val="00ED48AF"/>
    <w:rsid w:val="00ED4B55"/>
    <w:rsid w:val="00ED5AC6"/>
    <w:rsid w:val="00ED5E0B"/>
    <w:rsid w:val="00ED6BC4"/>
    <w:rsid w:val="00EE0340"/>
    <w:rsid w:val="00EE0F53"/>
    <w:rsid w:val="00EE16EB"/>
    <w:rsid w:val="00EE2985"/>
    <w:rsid w:val="00EE302A"/>
    <w:rsid w:val="00EE3B59"/>
    <w:rsid w:val="00EE409A"/>
    <w:rsid w:val="00EE488E"/>
    <w:rsid w:val="00EE4DB6"/>
    <w:rsid w:val="00EE549A"/>
    <w:rsid w:val="00EE5DB1"/>
    <w:rsid w:val="00EE5E39"/>
    <w:rsid w:val="00EE6E4F"/>
    <w:rsid w:val="00EE788C"/>
    <w:rsid w:val="00EE7F94"/>
    <w:rsid w:val="00EF37FB"/>
    <w:rsid w:val="00EF3B8C"/>
    <w:rsid w:val="00EF46DD"/>
    <w:rsid w:val="00EF591E"/>
    <w:rsid w:val="00EF6902"/>
    <w:rsid w:val="00EF70F3"/>
    <w:rsid w:val="00EF79BD"/>
    <w:rsid w:val="00EF7D5B"/>
    <w:rsid w:val="00F00736"/>
    <w:rsid w:val="00F007D1"/>
    <w:rsid w:val="00F01210"/>
    <w:rsid w:val="00F03C5B"/>
    <w:rsid w:val="00F04982"/>
    <w:rsid w:val="00F07935"/>
    <w:rsid w:val="00F101DA"/>
    <w:rsid w:val="00F105FC"/>
    <w:rsid w:val="00F1082F"/>
    <w:rsid w:val="00F11ED4"/>
    <w:rsid w:val="00F12E52"/>
    <w:rsid w:val="00F140B1"/>
    <w:rsid w:val="00F151E8"/>
    <w:rsid w:val="00F1578E"/>
    <w:rsid w:val="00F15CC6"/>
    <w:rsid w:val="00F15EAC"/>
    <w:rsid w:val="00F15FAD"/>
    <w:rsid w:val="00F162EE"/>
    <w:rsid w:val="00F163C4"/>
    <w:rsid w:val="00F165DD"/>
    <w:rsid w:val="00F213AB"/>
    <w:rsid w:val="00F218A6"/>
    <w:rsid w:val="00F2473C"/>
    <w:rsid w:val="00F24D7B"/>
    <w:rsid w:val="00F25EDE"/>
    <w:rsid w:val="00F2702C"/>
    <w:rsid w:val="00F27559"/>
    <w:rsid w:val="00F279D8"/>
    <w:rsid w:val="00F27B49"/>
    <w:rsid w:val="00F3054A"/>
    <w:rsid w:val="00F30DBF"/>
    <w:rsid w:val="00F31F81"/>
    <w:rsid w:val="00F326DD"/>
    <w:rsid w:val="00F32D77"/>
    <w:rsid w:val="00F338A3"/>
    <w:rsid w:val="00F340D1"/>
    <w:rsid w:val="00F345BA"/>
    <w:rsid w:val="00F35910"/>
    <w:rsid w:val="00F3698B"/>
    <w:rsid w:val="00F40273"/>
    <w:rsid w:val="00F40544"/>
    <w:rsid w:val="00F413EB"/>
    <w:rsid w:val="00F41795"/>
    <w:rsid w:val="00F426D2"/>
    <w:rsid w:val="00F431D4"/>
    <w:rsid w:val="00F4334E"/>
    <w:rsid w:val="00F43590"/>
    <w:rsid w:val="00F44790"/>
    <w:rsid w:val="00F44802"/>
    <w:rsid w:val="00F453E1"/>
    <w:rsid w:val="00F46E44"/>
    <w:rsid w:val="00F4728B"/>
    <w:rsid w:val="00F478D3"/>
    <w:rsid w:val="00F50483"/>
    <w:rsid w:val="00F50AC7"/>
    <w:rsid w:val="00F50E10"/>
    <w:rsid w:val="00F50E22"/>
    <w:rsid w:val="00F512BF"/>
    <w:rsid w:val="00F51C6A"/>
    <w:rsid w:val="00F51CEE"/>
    <w:rsid w:val="00F51CF8"/>
    <w:rsid w:val="00F535B4"/>
    <w:rsid w:val="00F5410A"/>
    <w:rsid w:val="00F54CA9"/>
    <w:rsid w:val="00F5542F"/>
    <w:rsid w:val="00F556A6"/>
    <w:rsid w:val="00F55BE2"/>
    <w:rsid w:val="00F56482"/>
    <w:rsid w:val="00F56581"/>
    <w:rsid w:val="00F5716A"/>
    <w:rsid w:val="00F6021F"/>
    <w:rsid w:val="00F60F87"/>
    <w:rsid w:val="00F613AD"/>
    <w:rsid w:val="00F61783"/>
    <w:rsid w:val="00F623B3"/>
    <w:rsid w:val="00F63161"/>
    <w:rsid w:val="00F6459F"/>
    <w:rsid w:val="00F64670"/>
    <w:rsid w:val="00F64895"/>
    <w:rsid w:val="00F65568"/>
    <w:rsid w:val="00F66D54"/>
    <w:rsid w:val="00F6740F"/>
    <w:rsid w:val="00F674DB"/>
    <w:rsid w:val="00F6798C"/>
    <w:rsid w:val="00F707D9"/>
    <w:rsid w:val="00F708FC"/>
    <w:rsid w:val="00F7391F"/>
    <w:rsid w:val="00F739BA"/>
    <w:rsid w:val="00F739E1"/>
    <w:rsid w:val="00F73D7F"/>
    <w:rsid w:val="00F751A1"/>
    <w:rsid w:val="00F75357"/>
    <w:rsid w:val="00F769FE"/>
    <w:rsid w:val="00F76B03"/>
    <w:rsid w:val="00F77B11"/>
    <w:rsid w:val="00F77B83"/>
    <w:rsid w:val="00F77D92"/>
    <w:rsid w:val="00F8103C"/>
    <w:rsid w:val="00F8126B"/>
    <w:rsid w:val="00F82D90"/>
    <w:rsid w:val="00F838FF"/>
    <w:rsid w:val="00F859C6"/>
    <w:rsid w:val="00F86013"/>
    <w:rsid w:val="00F864B8"/>
    <w:rsid w:val="00F86717"/>
    <w:rsid w:val="00F87C4E"/>
    <w:rsid w:val="00F87E9E"/>
    <w:rsid w:val="00F9045D"/>
    <w:rsid w:val="00F9156E"/>
    <w:rsid w:val="00F92542"/>
    <w:rsid w:val="00F93CE5"/>
    <w:rsid w:val="00F94113"/>
    <w:rsid w:val="00F94658"/>
    <w:rsid w:val="00F96E70"/>
    <w:rsid w:val="00F97BAC"/>
    <w:rsid w:val="00F97F2E"/>
    <w:rsid w:val="00FA004E"/>
    <w:rsid w:val="00FA07B8"/>
    <w:rsid w:val="00FA0808"/>
    <w:rsid w:val="00FA1593"/>
    <w:rsid w:val="00FA263F"/>
    <w:rsid w:val="00FA2B9C"/>
    <w:rsid w:val="00FA3842"/>
    <w:rsid w:val="00FA3BD1"/>
    <w:rsid w:val="00FA5232"/>
    <w:rsid w:val="00FA6B32"/>
    <w:rsid w:val="00FA7272"/>
    <w:rsid w:val="00FA78AB"/>
    <w:rsid w:val="00FB0432"/>
    <w:rsid w:val="00FB07DB"/>
    <w:rsid w:val="00FB1073"/>
    <w:rsid w:val="00FB18E6"/>
    <w:rsid w:val="00FB1B0B"/>
    <w:rsid w:val="00FB1E5D"/>
    <w:rsid w:val="00FB1F84"/>
    <w:rsid w:val="00FB24D6"/>
    <w:rsid w:val="00FB2635"/>
    <w:rsid w:val="00FB2DE1"/>
    <w:rsid w:val="00FB426B"/>
    <w:rsid w:val="00FB4764"/>
    <w:rsid w:val="00FB48CD"/>
    <w:rsid w:val="00FB4A0C"/>
    <w:rsid w:val="00FB58AE"/>
    <w:rsid w:val="00FB62DF"/>
    <w:rsid w:val="00FB756A"/>
    <w:rsid w:val="00FB7FD9"/>
    <w:rsid w:val="00FC009E"/>
    <w:rsid w:val="00FC04F3"/>
    <w:rsid w:val="00FC0936"/>
    <w:rsid w:val="00FC09B0"/>
    <w:rsid w:val="00FC09FB"/>
    <w:rsid w:val="00FC19DB"/>
    <w:rsid w:val="00FC28EA"/>
    <w:rsid w:val="00FC36E3"/>
    <w:rsid w:val="00FC3FF7"/>
    <w:rsid w:val="00FC46CC"/>
    <w:rsid w:val="00FC5225"/>
    <w:rsid w:val="00FC5EA8"/>
    <w:rsid w:val="00FC6446"/>
    <w:rsid w:val="00FC68BA"/>
    <w:rsid w:val="00FD0281"/>
    <w:rsid w:val="00FD03B5"/>
    <w:rsid w:val="00FD04C9"/>
    <w:rsid w:val="00FD0DD1"/>
    <w:rsid w:val="00FD108F"/>
    <w:rsid w:val="00FD1425"/>
    <w:rsid w:val="00FD1452"/>
    <w:rsid w:val="00FD2298"/>
    <w:rsid w:val="00FD3A63"/>
    <w:rsid w:val="00FD5FBE"/>
    <w:rsid w:val="00FD6CFD"/>
    <w:rsid w:val="00FD7074"/>
    <w:rsid w:val="00FD7AAC"/>
    <w:rsid w:val="00FD7C74"/>
    <w:rsid w:val="00FE004E"/>
    <w:rsid w:val="00FE05FE"/>
    <w:rsid w:val="00FE0AAE"/>
    <w:rsid w:val="00FE0D85"/>
    <w:rsid w:val="00FE1587"/>
    <w:rsid w:val="00FE2940"/>
    <w:rsid w:val="00FE2D83"/>
    <w:rsid w:val="00FE41FE"/>
    <w:rsid w:val="00FE464A"/>
    <w:rsid w:val="00FE4AF4"/>
    <w:rsid w:val="00FE6DCE"/>
    <w:rsid w:val="00FF0DCC"/>
    <w:rsid w:val="00FF2156"/>
    <w:rsid w:val="00FF2C2D"/>
    <w:rsid w:val="00FF37D1"/>
    <w:rsid w:val="00FF3976"/>
    <w:rsid w:val="00FF3C6D"/>
    <w:rsid w:val="00FF3DF7"/>
    <w:rsid w:val="00FF58C8"/>
    <w:rsid w:val="00FF5C56"/>
    <w:rsid w:val="00FF6326"/>
    <w:rsid w:val="00FF79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935168839506812550gmail-msolistparagraph">
    <w:name w:val="m_-935168839506812550gmail-msolistparagraph"/>
    <w:basedOn w:val="Normal"/>
    <w:rsid w:val="00FE41FE"/>
    <w:pPr>
      <w:spacing w:before="100" w:beforeAutospacing="1" w:after="100" w:afterAutospacing="1"/>
    </w:pPr>
  </w:style>
  <w:style w:type="paragraph" w:customStyle="1" w:styleId="p0">
    <w:name w:val="p0"/>
    <w:basedOn w:val="Normal"/>
    <w:rsid w:val="004D2674"/>
    <w:pPr>
      <w:keepLines/>
      <w:spacing w:before="240"/>
      <w:jc w:val="both"/>
    </w:pPr>
    <w:rPr>
      <w:rFonts w:ascii="Arial" w:hAnsi="Arial"/>
      <w:szCs w:val="20"/>
      <w:lang w:val="es-ES_tradnl" w:eastAsia="es-ES"/>
    </w:rPr>
  </w:style>
  <w:style w:type="paragraph" w:customStyle="1" w:styleId="p02">
    <w:name w:val="p02"/>
    <w:basedOn w:val="Normal"/>
    <w:next w:val="p0"/>
    <w:rsid w:val="004D2674"/>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7807163">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57264030">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93790917">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94002282">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79917815">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20883344">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34659188">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8403899">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698654386">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7529771">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37892727">
      <w:bodyDiv w:val="1"/>
      <w:marLeft w:val="0"/>
      <w:marRight w:val="0"/>
      <w:marTop w:val="0"/>
      <w:marBottom w:val="0"/>
      <w:divBdr>
        <w:top w:val="none" w:sz="0" w:space="0" w:color="auto"/>
        <w:left w:val="none" w:sz="0" w:space="0" w:color="auto"/>
        <w:bottom w:val="none" w:sz="0" w:space="0" w:color="auto"/>
        <w:right w:val="none" w:sz="0" w:space="0" w:color="auto"/>
      </w:divBdr>
    </w:div>
    <w:div w:id="1753089898">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18126389">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45727742">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64792368">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respaldo\sfigueroa1\Notas-calendario\ITAEE%20base%202013\2019\3er%20trim\Gr&#225;ficas_ITAEE_3er_T%20_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respaldo\sfigueroa1\Notas-calendario\ITAEE%20base%202013\2019\3er%20trim\Gr&#225;ficas_Contribuci&#243;n_ITAEE_3er_T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67E9-4753-96A5-2D9CFA55F8C2}"/>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67E9-4753-96A5-2D9CFA55F8C2}"/>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67E9-4753-96A5-2D9CFA55F8C2}"/>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67E9-4753-96A5-2D9CFA55F8C2}"/>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67E9-4753-96A5-2D9CFA55F8C2}"/>
              </c:ext>
            </c:extLst>
          </c:dPt>
          <c:dPt>
            <c:idx val="15"/>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B-67E9-4753-96A5-2D9CFA55F8C2}"/>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67E9-4753-96A5-2D9CFA55F8C2}"/>
              </c:ext>
            </c:extLst>
          </c:dPt>
          <c:dPt>
            <c:idx val="17"/>
            <c:invertIfNegative val="0"/>
            <c:bubble3D val="0"/>
            <c:spPr>
              <a:solidFill>
                <a:schemeClr val="tx2">
                  <a:lumMod val="75000"/>
                </a:schemeClr>
              </a:solidFill>
              <a:ln>
                <a:noFill/>
              </a:ln>
              <a:effectLst/>
              <a:sp3d/>
            </c:spPr>
            <c:extLst xmlns:c16r2="http://schemas.microsoft.com/office/drawing/2015/06/chart">
              <c:ext xmlns:c16="http://schemas.microsoft.com/office/drawing/2014/chart" uri="{C3380CC4-5D6E-409C-BE32-E72D297353CC}">
                <c16:uniqueId val="{0000000F-67E9-4753-96A5-2D9CFA55F8C2}"/>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67E9-4753-96A5-2D9CFA55F8C2}"/>
              </c:ext>
            </c:extLst>
          </c:dPt>
          <c:dPt>
            <c:idx val="19"/>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13-67E9-4753-96A5-2D9CFA55F8C2}"/>
              </c:ext>
            </c:extLst>
          </c:dPt>
          <c:dLbls>
            <c:dLbl>
              <c:idx val="0"/>
              <c:layout>
                <c:manualLayout>
                  <c:x val="-1.6209201168402243E-2"/>
                  <c:y val="-3.2318356479784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7E9-4753-96A5-2D9CFA55F8C2}"/>
                </c:ext>
                <c:ext xmlns:c15="http://schemas.microsoft.com/office/drawing/2012/chart" uri="{CE6537A1-D6FC-4f65-9D91-7224C49458BB}"/>
              </c:extLst>
            </c:dLbl>
            <c:dLbl>
              <c:idx val="1"/>
              <c:layout>
                <c:manualLayout>
                  <c:x val="-2.290115440115440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67E9-4753-96A5-2D9CFA55F8C2}"/>
                </c:ext>
                <c:ext xmlns:c15="http://schemas.microsoft.com/office/drawing/2012/chart" uri="{CE6537A1-D6FC-4f65-9D91-7224C49458BB}"/>
              </c:extLst>
            </c:dLbl>
            <c:dLbl>
              <c:idx val="2"/>
              <c:layout>
                <c:manualLayout>
                  <c:x val="-2.436539560579112E-2"/>
                  <c:y val="-2.01795266700902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67E9-4753-96A5-2D9CFA55F8C2}"/>
                </c:ext>
                <c:ext xmlns:c15="http://schemas.microsoft.com/office/drawing/2012/chart" uri="{CE6537A1-D6FC-4f65-9D91-7224C49458BB}"/>
              </c:extLst>
            </c:dLbl>
            <c:dLbl>
              <c:idx val="3"/>
              <c:layout>
                <c:manualLayout>
                  <c:x val="-2.482735902971805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67E9-4753-96A5-2D9CFA55F8C2}"/>
                </c:ext>
                <c:ext xmlns:c15="http://schemas.microsoft.com/office/drawing/2012/chart" uri="{CE6537A1-D6FC-4f65-9D91-7224C49458BB}"/>
              </c:extLst>
            </c:dLbl>
            <c:dLbl>
              <c:idx val="4"/>
              <c:layout>
                <c:manualLayout>
                  <c:x val="-1.9786639573279148E-2"/>
                  <c:y val="-2.719791270799128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67E9-4753-96A5-2D9CFA55F8C2}"/>
                </c:ext>
                <c:ext xmlns:c15="http://schemas.microsoft.com/office/drawing/2012/chart" uri="{CE6537A1-D6FC-4f65-9D91-7224C49458BB}"/>
              </c:extLst>
            </c:dLbl>
            <c:dLbl>
              <c:idx val="5"/>
              <c:layout>
                <c:manualLayout>
                  <c:x val="-2.2902511430022861E-2"/>
                  <c:y val="-4.22614404359488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67E9-4753-96A5-2D9CFA55F8C2}"/>
                </c:ext>
                <c:ext xmlns:c15="http://schemas.microsoft.com/office/drawing/2012/chart" uri="{CE6537A1-D6FC-4f65-9D91-7224C49458BB}"/>
              </c:extLst>
            </c:dLbl>
            <c:dLbl>
              <c:idx val="6"/>
              <c:layout>
                <c:manualLayout>
                  <c:x val="-2.289935064935056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67E9-4753-96A5-2D9CFA55F8C2}"/>
                </c:ext>
                <c:ext xmlns:c15="http://schemas.microsoft.com/office/drawing/2012/chart" uri="{CE6537A1-D6FC-4f65-9D91-7224C49458BB}"/>
              </c:extLst>
            </c:dLbl>
            <c:dLbl>
              <c:idx val="7"/>
              <c:layout>
                <c:manualLayout>
                  <c:x val="-3.3896764668529339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67E9-4753-96A5-2D9CFA55F8C2}"/>
                </c:ext>
                <c:ext xmlns:c15="http://schemas.microsoft.com/office/drawing/2012/chart" uri="{CE6537A1-D6FC-4f65-9D91-7224C49458BB}">
                  <c15:layout>
                    <c:manualLayout>
                      <c:w val="0.10232864357864357"/>
                      <c:h val="3.1348373848373849E-2"/>
                    </c:manualLayout>
                  </c15:layout>
                </c:ext>
              </c:extLst>
            </c:dLbl>
            <c:dLbl>
              <c:idx val="8"/>
              <c:layout>
                <c:manualLayout>
                  <c:x val="-2.290620490620482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67E9-4753-96A5-2D9CFA55F8C2}"/>
                </c:ext>
                <c:ext xmlns:c15="http://schemas.microsoft.com/office/drawing/2012/chart" uri="{CE6537A1-D6FC-4f65-9D91-7224C49458BB}"/>
              </c:extLst>
            </c:dLbl>
            <c:dLbl>
              <c:idx val="9"/>
              <c:layout>
                <c:manualLayout>
                  <c:x val="-2.290656565656565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67E9-4753-96A5-2D9CFA55F8C2}"/>
                </c:ext>
                <c:ext xmlns:c15="http://schemas.microsoft.com/office/drawing/2012/chart" uri="{CE6537A1-D6FC-4f65-9D91-7224C49458BB}"/>
              </c:extLst>
            </c:dLbl>
            <c:dLbl>
              <c:idx val="10"/>
              <c:layout>
                <c:manualLayout>
                  <c:x val="-3.3900336550673101E-2"/>
                  <c:y val="-3.524083198321632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E9-4753-96A5-2D9CFA55F8C2}"/>
                </c:ext>
                <c:ext xmlns:c15="http://schemas.microsoft.com/office/drawing/2012/chart" uri="{CE6537A1-D6FC-4f65-9D91-7224C49458BB}">
                  <c15:layout>
                    <c:manualLayout>
                      <c:w val="0.10691017316017316"/>
                      <c:h val="3.487262737262737E-2"/>
                    </c:manualLayout>
                  </c15:layout>
                </c:ext>
              </c:extLst>
            </c:dLbl>
            <c:dLbl>
              <c:idx val="11"/>
              <c:layout>
                <c:manualLayout>
                  <c:x val="-2.290620490620490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7E9-4753-96A5-2D9CFA55F8C2}"/>
                </c:ext>
                <c:ext xmlns:c15="http://schemas.microsoft.com/office/drawing/2012/chart" uri="{CE6537A1-D6FC-4f65-9D91-7224C49458BB}"/>
              </c:extLst>
            </c:dLbl>
            <c:dLbl>
              <c:idx val="12"/>
              <c:layout>
                <c:manualLayout>
                  <c:x val="-2.290620490620490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7E9-4753-96A5-2D9CFA55F8C2}"/>
                </c:ext>
                <c:ext xmlns:c15="http://schemas.microsoft.com/office/drawing/2012/chart" uri="{CE6537A1-D6FC-4f65-9D91-7224C49458BB}"/>
              </c:extLst>
            </c:dLbl>
            <c:dLbl>
              <c:idx val="13"/>
              <c:layout>
                <c:manualLayout>
                  <c:x val="-2.290687706375412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7E9-4753-96A5-2D9CFA55F8C2}"/>
                </c:ext>
                <c:ext xmlns:c15="http://schemas.microsoft.com/office/drawing/2012/chart" uri="{CE6537A1-D6FC-4f65-9D91-7224C49458BB}"/>
              </c:extLst>
            </c:dLbl>
            <c:dLbl>
              <c:idx val="14"/>
              <c:layout>
                <c:manualLayout>
                  <c:x val="-1.7865363855727713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7E9-4753-96A5-2D9CFA55F8C2}"/>
                </c:ext>
                <c:ext xmlns:c15="http://schemas.microsoft.com/office/drawing/2012/chart" uri="{CE6537A1-D6FC-4f65-9D91-7224C49458BB}"/>
              </c:extLst>
            </c:dLbl>
            <c:dLbl>
              <c:idx val="15"/>
              <c:layout>
                <c:manualLayout>
                  <c:x val="-1.7863776352552704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7E9-4753-96A5-2D9CFA55F8C2}"/>
                </c:ext>
                <c:ext xmlns:c15="http://schemas.microsoft.com/office/drawing/2012/chart" uri="{CE6537A1-D6FC-4f65-9D91-7224C49458BB}"/>
              </c:extLst>
            </c:dLbl>
            <c:dLbl>
              <c:idx val="16"/>
              <c:layout>
                <c:manualLayout>
                  <c:x val="-1.7866157607315122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7E9-4753-96A5-2D9CFA55F8C2}"/>
                </c:ext>
                <c:ext xmlns:c15="http://schemas.microsoft.com/office/drawing/2012/chart" uri="{CE6537A1-D6FC-4f65-9D91-7224C49458BB}"/>
              </c:extLst>
            </c:dLbl>
            <c:dLbl>
              <c:idx val="17"/>
              <c:layout>
                <c:manualLayout>
                  <c:x val="-1.832467532467524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7E9-4753-96A5-2D9CFA55F8C2}"/>
                </c:ext>
                <c:ext xmlns:c15="http://schemas.microsoft.com/office/drawing/2012/chart" uri="{CE6537A1-D6FC-4f65-9D91-7224C49458BB}"/>
              </c:extLst>
            </c:dLbl>
            <c:dLbl>
              <c:idx val="18"/>
              <c:layout>
                <c:manualLayout>
                  <c:x val="-1.8325757575757658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7E9-4753-96A5-2D9CFA55F8C2}"/>
                </c:ext>
                <c:ext xmlns:c15="http://schemas.microsoft.com/office/drawing/2012/chart" uri="{CE6537A1-D6FC-4f65-9D91-7224C49458BB}"/>
              </c:extLst>
            </c:dLbl>
            <c:dLbl>
              <c:idx val="19"/>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7E9-4753-96A5-2D9CFA55F8C2}"/>
                </c:ext>
                <c:ext xmlns:c15="http://schemas.microsoft.com/office/drawing/2012/chart" uri="{CE6537A1-D6FC-4f65-9D91-7224C49458BB}"/>
              </c:extLst>
            </c:dLbl>
            <c:dLbl>
              <c:idx val="20"/>
              <c:layout>
                <c:manualLayout>
                  <c:x val="-1.3285814071628236E-2"/>
                  <c:y val="-3.52430543980483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67E9-4753-96A5-2D9CFA55F8C2}"/>
                </c:ext>
                <c:ext xmlns:c15="http://schemas.microsoft.com/office/drawing/2012/chart" uri="{CE6537A1-D6FC-4f65-9D91-7224C49458BB}"/>
              </c:extLst>
            </c:dLbl>
            <c:dLbl>
              <c:idx val="21"/>
              <c:layout>
                <c:manualLayout>
                  <c:x val="-1.3285814071628051E-2"/>
                  <c:y val="-7.018386037901062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67E9-4753-96A5-2D9CFA55F8C2}"/>
                </c:ext>
                <c:ext xmlns:c15="http://schemas.microsoft.com/office/drawing/2012/chart" uri="{CE6537A1-D6FC-4f65-9D91-7224C49458BB}"/>
              </c:extLst>
            </c:dLbl>
            <c:dLbl>
              <c:idx val="2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67E9-4753-96A5-2D9CFA55F8C2}"/>
                </c:ext>
                <c:ext xmlns:c15="http://schemas.microsoft.com/office/drawing/2012/chart" uri="{CE6537A1-D6FC-4f65-9D91-7224C49458BB}"/>
              </c:extLst>
            </c:dLbl>
            <c:dLbl>
              <c:idx val="23"/>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67E9-4753-96A5-2D9CFA55F8C2}"/>
                </c:ext>
                <c:ext xmlns:c15="http://schemas.microsoft.com/office/drawing/2012/chart" uri="{CE6537A1-D6FC-4f65-9D91-7224C49458BB}"/>
              </c:extLst>
            </c:dLbl>
            <c:dLbl>
              <c:idx val="24"/>
              <c:layout>
                <c:manualLayout>
                  <c:x val="-1.8326118326118326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67E9-4753-96A5-2D9CFA55F8C2}"/>
                </c:ext>
                <c:ext xmlns:c15="http://schemas.microsoft.com/office/drawing/2012/chart" uri="{CE6537A1-D6FC-4f65-9D91-7224C49458BB}"/>
              </c:extLst>
            </c:dLbl>
            <c:dLbl>
              <c:idx val="25"/>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67E9-4753-96A5-2D9CFA55F8C2}"/>
                </c:ext>
                <c:ext xmlns:c15="http://schemas.microsoft.com/office/drawing/2012/chart" uri="{CE6537A1-D6FC-4f65-9D91-7224C49458BB}"/>
              </c:extLst>
            </c:dLbl>
            <c:dLbl>
              <c:idx val="26"/>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67E9-4753-96A5-2D9CFA55F8C2}"/>
                </c:ext>
                <c:ext xmlns:c15="http://schemas.microsoft.com/office/drawing/2012/chart" uri="{CE6537A1-D6FC-4f65-9D91-7224C49458BB}"/>
              </c:extLst>
            </c:dLbl>
            <c:dLbl>
              <c:idx val="27"/>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67E9-4753-96A5-2D9CFA55F8C2}"/>
                </c:ext>
                <c:ext xmlns:c15="http://schemas.microsoft.com/office/drawing/2012/chart" uri="{CE6537A1-D6FC-4f65-9D91-7224C49458BB}"/>
              </c:extLst>
            </c:dLbl>
            <c:dLbl>
              <c:idx val="28"/>
              <c:layout>
                <c:manualLayout>
                  <c:x val="-1.3285814071628143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67E9-4753-96A5-2D9CFA55F8C2}"/>
                </c:ext>
                <c:ext xmlns:c15="http://schemas.microsoft.com/office/drawing/2012/chart" uri="{CE6537A1-D6FC-4f65-9D91-7224C49458BB}"/>
              </c:extLst>
            </c:dLbl>
            <c:dLbl>
              <c:idx val="29"/>
              <c:layout>
                <c:manualLayout>
                  <c:x val="-1.3285814071628236E-2"/>
                  <c:y val="-3.52430543980480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67E9-4753-96A5-2D9CFA55F8C2}"/>
                </c:ext>
                <c:ext xmlns:c15="http://schemas.microsoft.com/office/drawing/2012/chart" uri="{CE6537A1-D6FC-4f65-9D91-7224C49458BB}"/>
              </c:extLst>
            </c:dLbl>
            <c:dLbl>
              <c:idx val="30"/>
              <c:layout>
                <c:manualLayout>
                  <c:x val="-1.3285814071628143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67E9-4753-96A5-2D9CFA55F8C2}"/>
                </c:ext>
                <c:ext xmlns:c15="http://schemas.microsoft.com/office/drawing/2012/chart" uri="{CE6537A1-D6FC-4f65-9D91-7224C49458BB}"/>
              </c:extLst>
            </c:dLbl>
            <c:dLbl>
              <c:idx val="31"/>
              <c:layout>
                <c:manualLayout>
                  <c:x val="-1.3285814071628236E-2"/>
                  <c:y val="-3.524305439804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67E9-4753-96A5-2D9CFA55F8C2}"/>
                </c:ext>
                <c:ext xmlns:c15="http://schemas.microsoft.com/office/drawing/2012/chart" uri="{CE6537A1-D6FC-4f65-9D91-7224C49458BB}"/>
              </c:extLst>
            </c:dLbl>
            <c:dLbl>
              <c:idx val="32"/>
              <c:layout>
                <c:manualLayout>
                  <c:x val="-1.32858140716281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67E9-4753-96A5-2D9CFA55F8C2}"/>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Baja California Sur</c:v>
                </c:pt>
                <c:pt idx="1">
                  <c:v>Tabasco</c:v>
                </c:pt>
                <c:pt idx="2">
                  <c:v>Chiapas</c:v>
                </c:pt>
                <c:pt idx="3">
                  <c:v>Nayarit</c:v>
                </c:pt>
                <c:pt idx="4">
                  <c:v>Zacatecas</c:v>
                </c:pt>
                <c:pt idx="5">
                  <c:v>Quintana Roo</c:v>
                </c:pt>
                <c:pt idx="6">
                  <c:v>México</c:v>
                </c:pt>
                <c:pt idx="7">
                  <c:v>Morelos</c:v>
                </c:pt>
                <c:pt idx="8">
                  <c:v>Oaxaca</c:v>
                </c:pt>
                <c:pt idx="9">
                  <c:v>Campeche</c:v>
                </c:pt>
                <c:pt idx="10">
                  <c:v>Hidalgo</c:v>
                </c:pt>
                <c:pt idx="11">
                  <c:v>Puebla</c:v>
                </c:pt>
                <c:pt idx="12">
                  <c:v>Guerrero</c:v>
                </c:pt>
                <c:pt idx="13">
                  <c:v>Ciudad de México</c:v>
                </c:pt>
                <c:pt idx="14">
                  <c:v>Querétaro</c:v>
                </c:pt>
                <c:pt idx="15">
                  <c:v>Veracruz de Ignacio de la Llave</c:v>
                </c:pt>
                <c:pt idx="16">
                  <c:v>Aguascalientes</c:v>
                </c:pt>
                <c:pt idx="17">
                  <c:v>Nacional</c:v>
                </c:pt>
                <c:pt idx="18">
                  <c:v>San Luis Potosí</c:v>
                </c:pt>
                <c:pt idx="19">
                  <c:v>Jalisco</c:v>
                </c:pt>
                <c:pt idx="20">
                  <c:v>Guanajuato</c:v>
                </c:pt>
                <c:pt idx="21">
                  <c:v>Durango</c:v>
                </c:pt>
                <c:pt idx="22">
                  <c:v>Sonora</c:v>
                </c:pt>
                <c:pt idx="23">
                  <c:v>Yucatán</c:v>
                </c:pt>
                <c:pt idx="24">
                  <c:v>Michoacán de Ocampo</c:v>
                </c:pt>
                <c:pt idx="25">
                  <c:v>Tamaulipas</c:v>
                </c:pt>
                <c:pt idx="26">
                  <c:v>Chihuahua</c:v>
                </c:pt>
                <c:pt idx="27">
                  <c:v>Nuevo León</c:v>
                </c:pt>
                <c:pt idx="28">
                  <c:v>Sinaloa</c:v>
                </c:pt>
                <c:pt idx="29">
                  <c:v>Baja California</c:v>
                </c:pt>
                <c:pt idx="30">
                  <c:v>Coahuila de Zaragoza</c:v>
                </c:pt>
                <c:pt idx="31">
                  <c:v>Colima</c:v>
                </c:pt>
                <c:pt idx="32">
                  <c:v>Tlaxcala</c:v>
                </c:pt>
              </c:strCache>
            </c:strRef>
          </c:cat>
          <c:val>
            <c:numRef>
              <c:f>'Variaciones por EF'!$C$6:$C$38</c:f>
              <c:numCache>
                <c:formatCode>0.0</c:formatCode>
                <c:ptCount val="33"/>
                <c:pt idx="0">
                  <c:v>-9.3947357941395353</c:v>
                </c:pt>
                <c:pt idx="1">
                  <c:v>-3.930839174145234</c:v>
                </c:pt>
                <c:pt idx="2">
                  <c:v>-3.3120327233831972</c:v>
                </c:pt>
                <c:pt idx="3">
                  <c:v>-3.1516057314803305</c:v>
                </c:pt>
                <c:pt idx="4">
                  <c:v>-2.8952784870606223</c:v>
                </c:pt>
                <c:pt idx="5">
                  <c:v>-2.8908728091479361</c:v>
                </c:pt>
                <c:pt idx="6">
                  <c:v>-2.5215270170034358</c:v>
                </c:pt>
                <c:pt idx="7">
                  <c:v>-2.5013624567679784</c:v>
                </c:pt>
                <c:pt idx="8">
                  <c:v>-2.4701466364876978</c:v>
                </c:pt>
                <c:pt idx="9">
                  <c:v>-2.2057078342197656</c:v>
                </c:pt>
                <c:pt idx="10">
                  <c:v>-1.2836131306091687</c:v>
                </c:pt>
                <c:pt idx="11">
                  <c:v>-1.280743276382708</c:v>
                </c:pt>
                <c:pt idx="12">
                  <c:v>-1.1305184119338065</c:v>
                </c:pt>
                <c:pt idx="13">
                  <c:v>-0.74543349526304326</c:v>
                </c:pt>
                <c:pt idx="14">
                  <c:v>-0.60815833687841803</c:v>
                </c:pt>
                <c:pt idx="15">
                  <c:v>-0.57533808298029498</c:v>
                </c:pt>
                <c:pt idx="16">
                  <c:v>-0.55838260622910241</c:v>
                </c:pt>
                <c:pt idx="17">
                  <c:v>-0.25451488374213199</c:v>
                </c:pt>
                <c:pt idx="18">
                  <c:v>2.827989950844767E-2</c:v>
                </c:pt>
                <c:pt idx="19">
                  <c:v>0.24029360717179316</c:v>
                </c:pt>
                <c:pt idx="20">
                  <c:v>0.33878189460531871</c:v>
                </c:pt>
                <c:pt idx="21">
                  <c:v>0.71126408712399325</c:v>
                </c:pt>
                <c:pt idx="22">
                  <c:v>1.1314775993015047</c:v>
                </c:pt>
                <c:pt idx="23">
                  <c:v>1.1540752489598987</c:v>
                </c:pt>
                <c:pt idx="24">
                  <c:v>1.5375081963032784</c:v>
                </c:pt>
                <c:pt idx="25">
                  <c:v>1.7682034032550291</c:v>
                </c:pt>
                <c:pt idx="26">
                  <c:v>1.8410829642736815</c:v>
                </c:pt>
                <c:pt idx="27">
                  <c:v>1.9008740668626132</c:v>
                </c:pt>
                <c:pt idx="28">
                  <c:v>2.1186590875227154</c:v>
                </c:pt>
                <c:pt idx="29">
                  <c:v>2.3431263770803241</c:v>
                </c:pt>
                <c:pt idx="30">
                  <c:v>2.8355972191879744</c:v>
                </c:pt>
                <c:pt idx="31">
                  <c:v>4.8775268821079152</c:v>
                </c:pt>
                <c:pt idx="32">
                  <c:v>13.767655766905847</c:v>
                </c:pt>
              </c:numCache>
            </c:numRef>
          </c:val>
          <c:extLst xmlns:c16r2="http://schemas.microsoft.com/office/drawing/2015/06/chart">
            <c:ext xmlns:c16="http://schemas.microsoft.com/office/drawing/2014/chart" uri="{C3380CC4-5D6E-409C-BE32-E72D297353CC}">
              <c16:uniqueId val="{0000002B-67E9-4753-96A5-2D9CFA55F8C2}"/>
            </c:ext>
          </c:extLst>
        </c:ser>
        <c:dLbls>
          <c:showLegendKey val="0"/>
          <c:showVal val="0"/>
          <c:showCatName val="0"/>
          <c:showSerName val="0"/>
          <c:showPercent val="0"/>
          <c:showBubbleSize val="0"/>
        </c:dLbls>
        <c:gapWidth val="50"/>
        <c:shape val="cylinder"/>
        <c:axId val="-786005696"/>
        <c:axId val="-786002976"/>
        <c:axId val="0"/>
      </c:bar3DChart>
      <c:catAx>
        <c:axId val="-786005696"/>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786002976"/>
        <c:crossesAt val="0"/>
        <c:auto val="1"/>
        <c:lblAlgn val="ctr"/>
        <c:lblOffset val="100"/>
        <c:noMultiLvlLbl val="0"/>
      </c:catAx>
      <c:valAx>
        <c:axId val="-786002976"/>
        <c:scaling>
          <c:orientation val="minMax"/>
          <c:max val="20"/>
          <c:min val="-18"/>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786005696"/>
        <c:crosses val="autoZero"/>
        <c:crossBetween val="between"/>
        <c:majorUnit val="9"/>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1955436759022596"/>
          <c:y val="3.2771284622445065E-2"/>
          <c:w val="0.7110656007115187"/>
          <c:h val="0.90685324011126556"/>
        </c:manualLayout>
      </c:layout>
      <c:bar3DChart>
        <c:barDir val="bar"/>
        <c:grouping val="stacked"/>
        <c:varyColors val="0"/>
        <c:ser>
          <c:idx val="0"/>
          <c:order val="0"/>
          <c:invertIfNegative val="0"/>
          <c:dLbls>
            <c:dLbl>
              <c:idx val="0"/>
              <c:layout>
                <c:manualLayout>
                  <c:x val="-0.12216017316017316"/>
                  <c:y val="4.05316905316905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D99-413B-834A-5401D5C5390F}"/>
                </c:ext>
                <c:ext xmlns:c15="http://schemas.microsoft.com/office/drawing/2012/chart" uri="{CE6537A1-D6FC-4f65-9D91-7224C49458BB}"/>
              </c:extLst>
            </c:dLbl>
            <c:dLbl>
              <c:idx val="1"/>
              <c:layout>
                <c:manualLayout>
                  <c:x val="-8.7351010101010179E-2"/>
                  <c:y val="4.04983904983904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D99-413B-834A-5401D5C5390F}"/>
                </c:ext>
                <c:ext xmlns:c15="http://schemas.microsoft.com/office/drawing/2012/chart" uri="{CE6537A1-D6FC-4f65-9D91-7224C49458BB}"/>
              </c:extLst>
            </c:dLbl>
            <c:dLbl>
              <c:idx val="2"/>
              <c:layout>
                <c:manualLayout>
                  <c:x val="-7.3793650793650883E-2"/>
                  <c:y val="4.04956154956154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4-4A71-BF1E-3D3EB53B4CFA}"/>
                </c:ext>
                <c:ext xmlns:c15="http://schemas.microsoft.com/office/drawing/2012/chart" uri="{CE6537A1-D6FC-4f65-9D91-7224C49458BB}"/>
              </c:extLst>
            </c:dLbl>
            <c:dLbl>
              <c:idx val="3"/>
              <c:layout>
                <c:manualLayout>
                  <c:x val="-7.1053722162845986E-2"/>
                  <c:y val="2.73423696720392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D99-413B-834A-5401D5C5390F}"/>
                </c:ext>
                <c:ext xmlns:c15="http://schemas.microsoft.com/office/drawing/2012/chart" uri="{CE6537A1-D6FC-4f65-9D91-7224C49458BB}"/>
              </c:extLst>
            </c:dLbl>
            <c:dLbl>
              <c:idx val="4"/>
              <c:layout>
                <c:manualLayout>
                  <c:x val="-5.9333316148374927E-2"/>
                  <c:y val="5.715606463671295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D99-413B-834A-5401D5C5390F}"/>
                </c:ext>
                <c:ext xmlns:c15="http://schemas.microsoft.com/office/drawing/2012/chart" uri="{CE6537A1-D6FC-4f65-9D91-7224C49458BB}">
                  <c15:layout>
                    <c:manualLayout>
                      <c:w val="0.11026477394178662"/>
                      <c:h val="2.852580556981605E-2"/>
                    </c:manualLayout>
                  </c15:layout>
                </c:ext>
              </c:extLst>
            </c:dLbl>
            <c:dLbl>
              <c:idx val="5"/>
              <c:layout>
                <c:manualLayout>
                  <c:x val="-5.6591588227246054E-2"/>
                  <c:y val="2.9851476016809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D82-49A3-9C71-EC84CB9A41E6}"/>
                </c:ext>
                <c:ext xmlns:c15="http://schemas.microsoft.com/office/drawing/2012/chart" uri="{CE6537A1-D6FC-4f65-9D91-7224C49458BB}">
                  <c15:layout>
                    <c:manualLayout>
                      <c:w val="0.10844480519480519"/>
                      <c:h val="3.1348373848373849E-2"/>
                    </c:manualLayout>
                  </c15:layout>
                </c:ext>
              </c:extLst>
            </c:dLbl>
            <c:dLbl>
              <c:idx val="6"/>
              <c:layout>
                <c:manualLayout>
                  <c:x val="-5.9842916261002507E-2"/>
                  <c:y val="2.72823644715875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D99-413B-834A-5401D5C5390F}"/>
                </c:ext>
                <c:ext xmlns:c15="http://schemas.microsoft.com/office/drawing/2012/chart" uri="{CE6537A1-D6FC-4f65-9D91-7224C49458BB}"/>
              </c:extLst>
            </c:dLbl>
            <c:dLbl>
              <c:idx val="7"/>
              <c:layout>
                <c:manualLayout>
                  <c:x val="-5.8192367102437643E-2"/>
                  <c:y val="1.412789108389393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D99-413B-834A-5401D5C5390F}"/>
                </c:ext>
                <c:ext xmlns:c15="http://schemas.microsoft.com/office/drawing/2012/chart" uri="{CE6537A1-D6FC-4f65-9D91-7224C49458BB}"/>
              </c:extLst>
            </c:dLbl>
            <c:dLbl>
              <c:idx val="8"/>
              <c:layout>
                <c:manualLayout>
                  <c:x val="-5.2702962620732596E-2"/>
                  <c:y val="1.412566866906243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D99-413B-834A-5401D5C5390F}"/>
                </c:ext>
                <c:ext xmlns:c15="http://schemas.microsoft.com/office/drawing/2012/chart" uri="{CE6537A1-D6FC-4f65-9D91-7224C49458BB}">
                  <c15:layout>
                    <c:manualLayout>
                      <c:w val="0.10386327561327562"/>
                      <c:h val="3.487262737262737E-2"/>
                    </c:manualLayout>
                  </c15:layout>
                </c:ext>
              </c:extLst>
            </c:dLbl>
            <c:dLbl>
              <c:idx val="9"/>
              <c:layout>
                <c:manualLayout>
                  <c:x val="-5.2083333333333336E-2"/>
                  <c:y val="5.03385503385503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D99-413B-834A-5401D5C5390F}"/>
                </c:ext>
                <c:ext xmlns:c15="http://schemas.microsoft.com/office/drawing/2012/chart" uri="{CE6537A1-D6FC-4f65-9D91-7224C49458BB}"/>
              </c:extLst>
            </c:dLbl>
            <c:dLbl>
              <c:idx val="10"/>
              <c:layout>
                <c:manualLayout>
                  <c:x val="-4.915295815295815E-2"/>
                  <c:y val="5.032190032190161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D99-413B-834A-5401D5C5390F}"/>
                </c:ext>
                <c:ext xmlns:c15="http://schemas.microsoft.com/office/drawing/2012/chart" uri="{CE6537A1-D6FC-4f65-9D91-7224C49458BB}"/>
              </c:extLst>
            </c:dLbl>
            <c:dLbl>
              <c:idx val="11"/>
              <c:layout>
                <c:manualLayout>
                  <c:x val="-4.9152597402597406E-2"/>
                  <c:y val="3.52536352536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D99-413B-834A-5401D5C5390F}"/>
                </c:ext>
                <c:ext xmlns:c15="http://schemas.microsoft.com/office/drawing/2012/chart" uri="{CE6537A1-D6FC-4f65-9D91-7224C49458BB}"/>
              </c:extLst>
            </c:dLbl>
            <c:dLbl>
              <c:idx val="12"/>
              <c:layout>
                <c:manualLayout>
                  <c:x val="-4.7690115440115442E-2"/>
                  <c:y val="5.03024753024753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D99-413B-834A-5401D5C5390F}"/>
                </c:ext>
                <c:ext xmlns:c15="http://schemas.microsoft.com/office/drawing/2012/chart" uri="{CE6537A1-D6FC-4f65-9D91-7224C49458BB}"/>
              </c:extLst>
            </c:dLbl>
            <c:dLbl>
              <c:idx val="13"/>
              <c:layout>
                <c:manualLayout>
                  <c:x val="-4.4760101010101097E-2"/>
                  <c:y val="3.52480852480858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4-4A71-BF1E-3D3EB53B4CFA}"/>
                </c:ext>
                <c:ext xmlns:c15="http://schemas.microsoft.com/office/drawing/2012/chart" uri="{CE6537A1-D6FC-4f65-9D91-7224C49458BB}"/>
              </c:extLst>
            </c:dLbl>
            <c:dLbl>
              <c:idx val="14"/>
              <c:layout>
                <c:manualLayout>
                  <c:x val="-4.7239335576631458E-2"/>
                  <c:y val="3.52541664722064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BD99-413B-834A-5401D5C5390F}"/>
                </c:ext>
                <c:ext xmlns:c15="http://schemas.microsoft.com/office/drawing/2012/chart" uri="{CE6537A1-D6FC-4f65-9D91-7224C49458BB}"/>
              </c:extLst>
            </c:dLbl>
            <c:dLbl>
              <c:idx val="15"/>
              <c:layout>
                <c:manualLayout>
                  <c:x val="-4.4313794696589644E-2"/>
                  <c:y val="5.54336931422955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BD99-413B-834A-5401D5C5390F}"/>
                </c:ext>
                <c:ext xmlns:c15="http://schemas.microsoft.com/office/drawing/2012/chart" uri="{CE6537A1-D6FC-4f65-9D91-7224C49458BB}"/>
              </c:extLst>
            </c:dLbl>
            <c:dLbl>
              <c:idx val="16"/>
              <c:layout>
                <c:manualLayout>
                  <c:x val="-4.4314191272552782E-2"/>
                  <c:y val="3.52630561315313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BD99-413B-834A-5401D5C5390F}"/>
                </c:ext>
                <c:ext xmlns:c15="http://schemas.microsoft.com/office/drawing/2012/chart" uri="{CE6537A1-D6FC-4f65-9D91-7224C49458BB}"/>
              </c:extLst>
            </c:dLbl>
            <c:dLbl>
              <c:idx val="17"/>
              <c:layout>
                <c:manualLayout>
                  <c:x val="5.3072571418373668E-2"/>
                  <c:y val="8.889659326030478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BD99-413B-834A-5401D5C5390F}"/>
                </c:ext>
                <c:ext xmlns:c15="http://schemas.microsoft.com/office/drawing/2012/chart" uri="{CE6537A1-D6FC-4f65-9D91-7224C49458BB}"/>
              </c:extLst>
            </c:dLbl>
            <c:dLbl>
              <c:idx val="18"/>
              <c:layout>
                <c:manualLayout>
                  <c:x val="5.4536729874265499E-2"/>
                  <c:y val="-5.1744627568582528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BD99-413B-834A-5401D5C5390F}"/>
                </c:ext>
                <c:ext xmlns:c15="http://schemas.microsoft.com/office/drawing/2012/chart" uri="{CE6537A1-D6FC-4f65-9D91-7224C49458BB}"/>
              </c:extLst>
            </c:dLbl>
            <c:dLbl>
              <c:idx val="19"/>
              <c:layout>
                <c:manualLayout>
                  <c:x val="5.3788391031831168E-2"/>
                  <c:y val="-2.82335580194727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BD99-413B-834A-5401D5C5390F}"/>
                </c:ext>
                <c:ext xmlns:c15="http://schemas.microsoft.com/office/drawing/2012/chart" uri="{CE6537A1-D6FC-4f65-9D91-7224C49458BB}"/>
              </c:extLst>
            </c:dLbl>
            <c:dLbl>
              <c:idx val="20"/>
              <c:layout>
                <c:manualLayout>
                  <c:x val="5.3602396905121093E-2"/>
                  <c:y val="-2.82246683601467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BD99-413B-834A-5401D5C5390F}"/>
                </c:ext>
                <c:ext xmlns:c15="http://schemas.microsoft.com/office/drawing/2012/chart" uri="{CE6537A1-D6FC-4f65-9D91-7224C49458BB}"/>
              </c:extLst>
            </c:dLbl>
            <c:dLbl>
              <c:idx val="21"/>
              <c:layout>
                <c:manualLayout>
                  <c:x val="5.240077173682417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BD99-413B-834A-5401D5C5390F}"/>
                </c:ext>
                <c:ext xmlns:c15="http://schemas.microsoft.com/office/drawing/2012/chart" uri="{CE6537A1-D6FC-4f65-9D91-7224C49458BB}"/>
              </c:extLst>
            </c:dLbl>
            <c:dLbl>
              <c:idx val="22"/>
              <c:layout>
                <c:manualLayout>
                  <c:x val="5.7434907012851047E-2"/>
                  <c:y val="-2.2224148320250659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BD99-413B-834A-5401D5C5390F}"/>
                </c:ext>
                <c:ext xmlns:c15="http://schemas.microsoft.com/office/drawing/2012/chart" uri="{CE6537A1-D6FC-4f65-9D91-7224C49458BB}"/>
              </c:extLst>
            </c:dLbl>
            <c:dLbl>
              <c:idx val="23"/>
              <c:layout>
                <c:manualLayout>
                  <c:x val="6.1004288969041295E-2"/>
                  <c:y val="-2.82291131898097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BD99-413B-834A-5401D5C5390F}"/>
                </c:ext>
                <c:ext xmlns:c15="http://schemas.microsoft.com/office/drawing/2012/chart" uri="{CE6537A1-D6FC-4f65-9D91-7224C49458BB}">
                  <c15:layout>
                    <c:manualLayout>
                      <c:w val="9.4700216450216451E-2"/>
                      <c:h val="3.487262737262737E-2"/>
                    </c:manualLayout>
                  </c15:layout>
                </c:ext>
              </c:extLst>
            </c:dLbl>
            <c:dLbl>
              <c:idx val="24"/>
              <c:layout>
                <c:manualLayout>
                  <c:x val="5.7884624155045243E-2"/>
                  <c:y val="-2.018174908492069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BD99-413B-834A-5401D5C5390F}"/>
                </c:ext>
                <c:ext xmlns:c15="http://schemas.microsoft.com/office/drawing/2012/chart" uri="{CE6537A1-D6FC-4f65-9D91-7224C49458BB}"/>
              </c:extLst>
            </c:dLbl>
            <c:dLbl>
              <c:idx val="25"/>
              <c:layout>
                <c:manualLayout>
                  <c:x val="5.8972828597885669E-2"/>
                  <c:y val="-2.019063874424672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BD99-413B-834A-5401D5C5390F}"/>
                </c:ext>
                <c:ext xmlns:c15="http://schemas.microsoft.com/office/drawing/2012/chart" uri="{CE6537A1-D6FC-4f65-9D91-7224C49458BB}"/>
              </c:extLst>
            </c:dLbl>
            <c:dLbl>
              <c:idx val="26"/>
              <c:layout>
                <c:manualLayout>
                  <c:x val="6.3551298092271238E-2"/>
                  <c:y val="-2.019063874424698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BD99-413B-834A-5401D5C5390F}"/>
                </c:ext>
                <c:ext xmlns:c15="http://schemas.microsoft.com/office/drawing/2012/chart" uri="{CE6537A1-D6FC-4f65-9D91-7224C49458BB}"/>
              </c:extLst>
            </c:dLbl>
            <c:dLbl>
              <c:idx val="27"/>
              <c:layout>
                <c:manualLayout>
                  <c:x val="6.9307994773128809E-2"/>
                  <c:y val="-5.1248886014565703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BD99-413B-834A-5401D5C5390F}"/>
                </c:ext>
                <c:ext xmlns:c15="http://schemas.microsoft.com/office/drawing/2012/chart" uri="{CE6537A1-D6FC-4f65-9D91-7224C49458BB}"/>
              </c:extLst>
            </c:dLbl>
            <c:dLbl>
              <c:idx val="28"/>
              <c:layout>
                <c:manualLayout>
                  <c:x val="7.4794226647128689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BD99-413B-834A-5401D5C5390F}"/>
                </c:ext>
                <c:ext xmlns:c15="http://schemas.microsoft.com/office/drawing/2012/chart" uri="{CE6537A1-D6FC-4f65-9D91-7224C49458BB}"/>
              </c:extLst>
            </c:dLbl>
            <c:dLbl>
              <c:idx val="29"/>
              <c:layout>
                <c:manualLayout>
                  <c:x val="7.3763525718942735E-2"/>
                  <c:y val="-7.033942941721486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BD99-413B-834A-5401D5C5390F}"/>
                </c:ext>
                <c:ext xmlns:c15="http://schemas.microsoft.com/office/drawing/2012/chart" uri="{CE6537A1-D6FC-4f65-9D91-7224C49458BB}"/>
              </c:extLst>
            </c:dLbl>
            <c:dLbl>
              <c:idx val="30"/>
              <c:layout>
                <c:manualLayout>
                  <c:x val="8.8681127148202518E-2"/>
                  <c:y val="-2.019952840357275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BD99-413B-834A-5401D5C5390F}"/>
                </c:ext>
                <c:ext xmlns:c15="http://schemas.microsoft.com/office/drawing/2012/chart" uri="{CE6537A1-D6FC-4f65-9D91-7224C49458BB}"/>
              </c:extLst>
            </c:dLbl>
            <c:dLbl>
              <c:idx val="31"/>
              <c:layout>
                <c:manualLayout>
                  <c:x val="0.10036710025009152"/>
                  <c:y val="-4.84088986790887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BD99-413B-834A-5401D5C5390F}"/>
                </c:ext>
                <c:ext xmlns:c15="http://schemas.microsoft.com/office/drawing/2012/chart" uri="{CE6537A1-D6FC-4f65-9D91-7224C49458BB}">
                  <c15:layout>
                    <c:manualLayout>
                      <c:w val="9.5610102376084888E-2"/>
                      <c:h val="2.9227644173606151E-2"/>
                    </c:manualLayout>
                  </c15:layout>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México</c:v>
                </c:pt>
                <c:pt idx="1">
                  <c:v>Ciudad de México</c:v>
                </c:pt>
                <c:pt idx="2">
                  <c:v>Tabasco</c:v>
                </c:pt>
                <c:pt idx="3">
                  <c:v>Baja California Sur</c:v>
                </c:pt>
                <c:pt idx="4">
                  <c:v>Campeche</c:v>
                </c:pt>
                <c:pt idx="5">
                  <c:v>Chiapas</c:v>
                </c:pt>
                <c:pt idx="6">
                  <c:v>Quintana Roo</c:v>
                </c:pt>
                <c:pt idx="7">
                  <c:v>Puebla</c:v>
                </c:pt>
                <c:pt idx="8">
                  <c:v>Oaxaca</c:v>
                </c:pt>
                <c:pt idx="9">
                  <c:v>Morelos</c:v>
                </c:pt>
                <c:pt idx="10">
                  <c:v>Zacatecas</c:v>
                </c:pt>
                <c:pt idx="11">
                  <c:v>Veracruz de Ignacio de la Llave</c:v>
                </c:pt>
                <c:pt idx="12">
                  <c:v>Nayarit</c:v>
                </c:pt>
                <c:pt idx="13">
                  <c:v>Hidalgo</c:v>
                </c:pt>
                <c:pt idx="14">
                  <c:v>Guerrero</c:v>
                </c:pt>
                <c:pt idx="15">
                  <c:v>Querétaro</c:v>
                </c:pt>
                <c:pt idx="16">
                  <c:v>Aguascalientes</c:v>
                </c:pt>
                <c:pt idx="17">
                  <c:v>San Luis Potosí</c:v>
                </c:pt>
                <c:pt idx="18">
                  <c:v>Durango</c:v>
                </c:pt>
                <c:pt idx="19">
                  <c:v>Guanajuato</c:v>
                </c:pt>
                <c:pt idx="20">
                  <c:v>Jalisco</c:v>
                </c:pt>
                <c:pt idx="21">
                  <c:v>Yucatán</c:v>
                </c:pt>
                <c:pt idx="22">
                  <c:v>Colima</c:v>
                </c:pt>
                <c:pt idx="23">
                  <c:v>Michoacán de Ocampo</c:v>
                </c:pt>
                <c:pt idx="24">
                  <c:v>Sonora</c:v>
                </c:pt>
                <c:pt idx="25">
                  <c:v>Sinaloa</c:v>
                </c:pt>
                <c:pt idx="26">
                  <c:v>Tamaulipas</c:v>
                </c:pt>
                <c:pt idx="27">
                  <c:v>Chihuahua</c:v>
                </c:pt>
                <c:pt idx="28">
                  <c:v>Baja California</c:v>
                </c:pt>
                <c:pt idx="29">
                  <c:v>Tlaxcala</c:v>
                </c:pt>
                <c:pt idx="30">
                  <c:v>Coahuila de Zaragoza</c:v>
                </c:pt>
                <c:pt idx="31">
                  <c:v>Nuevo León</c:v>
                </c:pt>
              </c:strCache>
            </c:strRef>
          </c:cat>
          <c:val>
            <c:numRef>
              <c:f>'Var-Ponderadas-al-Nal.'!$M$7:$M$38</c:f>
              <c:numCache>
                <c:formatCode>0.00</c:formatCode>
                <c:ptCount val="32"/>
                <c:pt idx="0">
                  <c:v>-0.22315874845461081</c:v>
                </c:pt>
                <c:pt idx="1">
                  <c:v>-0.13146076766546241</c:v>
                </c:pt>
                <c:pt idx="2">
                  <c:v>-0.10277768013815483</c:v>
                </c:pt>
                <c:pt idx="3">
                  <c:v>-9.5642989358069502E-2</c:v>
                </c:pt>
                <c:pt idx="4">
                  <c:v>-6.6660008141640886E-2</c:v>
                </c:pt>
                <c:pt idx="5">
                  <c:v>-5.2357391146955687E-2</c:v>
                </c:pt>
                <c:pt idx="6">
                  <c:v>-4.7813967399947935E-2</c:v>
                </c:pt>
                <c:pt idx="7">
                  <c:v>-4.3797200247230793E-2</c:v>
                </c:pt>
                <c:pt idx="8">
                  <c:v>-3.5540339038727456E-2</c:v>
                </c:pt>
                <c:pt idx="9">
                  <c:v>-2.8027617586930873E-2</c:v>
                </c:pt>
                <c:pt idx="10">
                  <c:v>-2.7232985993355236E-2</c:v>
                </c:pt>
                <c:pt idx="11">
                  <c:v>-2.6437866083908534E-2</c:v>
                </c:pt>
                <c:pt idx="12">
                  <c:v>-2.1241783711884003E-2</c:v>
                </c:pt>
                <c:pt idx="13">
                  <c:v>-1.9704902356687808E-2</c:v>
                </c:pt>
                <c:pt idx="14">
                  <c:v>-1.5268776492720333E-2</c:v>
                </c:pt>
                <c:pt idx="15">
                  <c:v>-1.4420359646223194E-2</c:v>
                </c:pt>
                <c:pt idx="16">
                  <c:v>-7.319698143203858E-3</c:v>
                </c:pt>
                <c:pt idx="17">
                  <c:v>5.9185187683761587E-4</c:v>
                </c:pt>
                <c:pt idx="18">
                  <c:v>8.3465957839745017E-3</c:v>
                </c:pt>
                <c:pt idx="19">
                  <c:v>1.3839109366074381E-2</c:v>
                </c:pt>
                <c:pt idx="20">
                  <c:v>1.680444482838956E-2</c:v>
                </c:pt>
                <c:pt idx="21">
                  <c:v>1.705497874318786E-2</c:v>
                </c:pt>
                <c:pt idx="22">
                  <c:v>3.0007739113072165E-2</c:v>
                </c:pt>
                <c:pt idx="23">
                  <c:v>3.5347312111310786E-2</c:v>
                </c:pt>
                <c:pt idx="24">
                  <c:v>3.6083923444009278E-2</c:v>
                </c:pt>
                <c:pt idx="25">
                  <c:v>4.3936412107313132E-2</c:v>
                </c:pt>
                <c:pt idx="26">
                  <c:v>5.0702759398108053E-2</c:v>
                </c:pt>
                <c:pt idx="27">
                  <c:v>5.9361798540067207E-2</c:v>
                </c:pt>
                <c:pt idx="28">
                  <c:v>7.3911722602634955E-2</c:v>
                </c:pt>
                <c:pt idx="29">
                  <c:v>7.4831162288060693E-2</c:v>
                </c:pt>
                <c:pt idx="30">
                  <c:v>9.9897642202822129E-2</c:v>
                </c:pt>
                <c:pt idx="31">
                  <c:v>0.14363151257811207</c:v>
                </c:pt>
              </c:numCache>
            </c:numRef>
          </c:val>
          <c:extLst xmlns:c16r2="http://schemas.microsoft.com/office/drawing/2015/06/chart">
            <c:ext xmlns:c16="http://schemas.microsoft.com/office/drawing/2014/chart" uri="{C3380CC4-5D6E-409C-BE32-E72D297353CC}">
              <c16:uniqueId val="{00000020-BD99-413B-834A-5401D5C5390F}"/>
            </c:ext>
          </c:extLst>
        </c:ser>
        <c:dLbls>
          <c:showLegendKey val="0"/>
          <c:showVal val="0"/>
          <c:showCatName val="0"/>
          <c:showSerName val="0"/>
          <c:showPercent val="0"/>
          <c:showBubbleSize val="0"/>
        </c:dLbls>
        <c:gapWidth val="31"/>
        <c:gapDepth val="48"/>
        <c:shape val="cylinder"/>
        <c:axId val="-786000800"/>
        <c:axId val="-786000256"/>
        <c:axId val="0"/>
      </c:bar3DChart>
      <c:catAx>
        <c:axId val="-78600080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786000256"/>
        <c:crosses val="autoZero"/>
        <c:auto val="1"/>
        <c:lblAlgn val="ctr"/>
        <c:lblOffset val="100"/>
        <c:noMultiLvlLbl val="0"/>
      </c:catAx>
      <c:valAx>
        <c:axId val="-786000256"/>
        <c:scaling>
          <c:orientation val="minMax"/>
          <c:max val="0.30000000000000004"/>
          <c:min val="-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786000800"/>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5.xml><?xml version="1.0" encoding="utf-8"?>
<ds:datastoreItem xmlns:ds="http://schemas.openxmlformats.org/officeDocument/2006/customXml" ds:itemID="{5F061D93-B918-413C-8986-96AD212B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7021</Words>
  <Characters>38617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HIFM</dc:creator>
  <cp:keywords/>
  <cp:lastModifiedBy>Flores Munguia, Hugo Israel</cp:lastModifiedBy>
  <cp:revision>32</cp:revision>
  <cp:lastPrinted>2020-02-25T18:31:00Z</cp:lastPrinted>
  <dcterms:created xsi:type="dcterms:W3CDTF">2020-02-25T16:34:00Z</dcterms:created>
  <dcterms:modified xsi:type="dcterms:W3CDTF">2020-02-25T18:31:00Z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