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E3" w:rsidRDefault="006520E3" w:rsidP="006520E3">
      <w:pPr>
        <w:autoSpaceDE w:val="0"/>
        <w:autoSpaceDN w:val="0"/>
        <w:adjustRightInd w:val="0"/>
        <w:spacing w:before="240" w:after="120"/>
        <w:ind w:left="709" w:hanging="709"/>
        <w:jc w:val="center"/>
        <w:rPr>
          <w:rFonts w:ascii="Arial" w:hAnsi="Arial" w:cs="Arial"/>
          <w:b/>
          <w:sz w:val="17"/>
          <w:szCs w:val="17"/>
        </w:rPr>
      </w:pPr>
      <w:r w:rsidRPr="002D70DA">
        <w:rPr>
          <w:rFonts w:ascii="Arial" w:hAnsi="Arial" w:cs="Arial"/>
          <w:b/>
          <w:sz w:val="17"/>
          <w:szCs w:val="17"/>
        </w:rPr>
        <w:t xml:space="preserve">NOTAS A LOS ESTADOS FINANCIEROS DEL </w:t>
      </w:r>
      <w:r>
        <w:rPr>
          <w:rFonts w:ascii="Arial" w:hAnsi="Arial" w:cs="Arial"/>
          <w:b/>
          <w:sz w:val="17"/>
          <w:szCs w:val="17"/>
        </w:rPr>
        <w:t>PODER EJECUTIVO DEL ESTADO DE QUERÉTARO</w:t>
      </w:r>
    </w:p>
    <w:p w:rsidR="006520E3" w:rsidRPr="002D70DA" w:rsidRDefault="006520E3" w:rsidP="006520E3">
      <w:pPr>
        <w:autoSpaceDE w:val="0"/>
        <w:autoSpaceDN w:val="0"/>
        <w:adjustRightInd w:val="0"/>
        <w:spacing w:before="240" w:after="120"/>
        <w:jc w:val="center"/>
        <w:rPr>
          <w:rFonts w:ascii="Arial" w:hAnsi="Arial" w:cs="Arial"/>
          <w:b/>
          <w:sz w:val="17"/>
          <w:szCs w:val="17"/>
        </w:rPr>
      </w:pPr>
    </w:p>
    <w:p w:rsidR="006520E3" w:rsidRPr="002D70DA" w:rsidRDefault="006520E3" w:rsidP="006520E3">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Con el propósito de dar cumplimiento a los artículos 46 y 49 de la Ley General de Contabilidad Gubernamental (LGCG), así como a la normatividad emitida por el Consejo Nacional de Armonización Contable (CONAC), en seguida, se presentan las notas a los estados financieros correspondientes al</w:t>
      </w:r>
      <w:r>
        <w:rPr>
          <w:rFonts w:ascii="Arial" w:eastAsia="Calibri" w:hAnsi="Arial" w:cs="Arial"/>
          <w:spacing w:val="-1"/>
          <w:sz w:val="17"/>
          <w:szCs w:val="17"/>
        </w:rPr>
        <w:t xml:space="preserve">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 teniendo presente los postulados de revelación suficiente e importancia relativa con la finalidad de que la información sea de mayor utilidad para los usuarios. Los tres tipos de notas que acompañan a los estados financieros, son:</w:t>
      </w: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a) Notas de Desglose</w:t>
      </w:r>
      <w:r>
        <w:rPr>
          <w:rFonts w:ascii="Arial" w:eastAsia="Calibri" w:hAnsi="Arial" w:cs="Arial"/>
          <w:spacing w:val="-1"/>
          <w:sz w:val="17"/>
          <w:szCs w:val="17"/>
        </w:rPr>
        <w:t>;</w:t>
      </w: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b) Notas de Memoria</w:t>
      </w:r>
      <w:r>
        <w:rPr>
          <w:rFonts w:ascii="Arial" w:eastAsia="Calibri" w:hAnsi="Arial" w:cs="Arial"/>
          <w:spacing w:val="-1"/>
          <w:sz w:val="17"/>
          <w:szCs w:val="17"/>
        </w:rPr>
        <w:t xml:space="preserve"> (cuentas de orden), y</w:t>
      </w: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c) Notas de Gestión Administrativa</w:t>
      </w:r>
      <w:r>
        <w:rPr>
          <w:rFonts w:ascii="Arial" w:eastAsia="Calibri" w:hAnsi="Arial" w:cs="Arial"/>
          <w:spacing w:val="-1"/>
          <w:sz w:val="17"/>
          <w:szCs w:val="17"/>
        </w:rPr>
        <w:t>.</w:t>
      </w:r>
    </w:p>
    <w:p w:rsidR="006520E3" w:rsidRPr="002D70DA" w:rsidRDefault="006520E3" w:rsidP="006520E3">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de Desglose:</w:t>
      </w:r>
    </w:p>
    <w:p w:rsidR="006520E3" w:rsidRPr="002D70DA" w:rsidRDefault="006520E3" w:rsidP="006520E3">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Situación Financiera</w:t>
      </w:r>
    </w:p>
    <w:p w:rsidR="006520E3" w:rsidRPr="002D70DA" w:rsidRDefault="006520E3" w:rsidP="006520E3">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Activo</w:t>
      </w: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Efectivo y equivalentes</w:t>
      </w: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En este apartado se informa la integración del rubro efectivo y equivalentes en posición del Poder Ejecutivo del Estado de Querétaro:</w:t>
      </w:r>
    </w:p>
    <w:p w:rsidR="006520E3" w:rsidRPr="002D70DA" w:rsidRDefault="006520E3" w:rsidP="006520E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02A49" w:rsidRDefault="006520E3" w:rsidP="00137283">
            <w:pPr>
              <w:rPr>
                <w:rFonts w:ascii="Arial" w:hAnsi="Arial" w:cs="Arial"/>
                <w:sz w:val="17"/>
                <w:szCs w:val="17"/>
              </w:rPr>
            </w:pPr>
            <w:r w:rsidRPr="00202A49">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F40307">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F40307">
              <w:rPr>
                <w:rFonts w:ascii="Arial" w:hAnsi="Arial" w:cs="Arial"/>
                <w:sz w:val="17"/>
                <w:szCs w:val="17"/>
              </w:rPr>
              <w:t xml:space="preserve"> -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02A49" w:rsidRDefault="006520E3" w:rsidP="00137283">
            <w:pPr>
              <w:rPr>
                <w:rFonts w:ascii="Arial" w:hAnsi="Arial" w:cs="Arial"/>
                <w:sz w:val="17"/>
                <w:szCs w:val="17"/>
              </w:rPr>
            </w:pPr>
            <w:r w:rsidRPr="00202A49">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F40307">
              <w:rPr>
                <w:rFonts w:ascii="Arial" w:hAnsi="Arial" w:cs="Arial"/>
                <w:sz w:val="17"/>
                <w:szCs w:val="17"/>
              </w:rPr>
              <w:t xml:space="preserve"> 5,255,349,036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F40307">
              <w:rPr>
                <w:rFonts w:ascii="Arial" w:hAnsi="Arial" w:cs="Arial"/>
                <w:sz w:val="17"/>
                <w:szCs w:val="17"/>
              </w:rPr>
              <w:t xml:space="preserve"> 5,114,355,919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02A49" w:rsidRDefault="006520E3" w:rsidP="00137283">
            <w:pPr>
              <w:rPr>
                <w:rFonts w:ascii="Arial" w:hAnsi="Arial" w:cs="Arial"/>
                <w:sz w:val="17"/>
                <w:szCs w:val="17"/>
              </w:rPr>
            </w:pPr>
            <w:r w:rsidRPr="00202A49">
              <w:rPr>
                <w:rFonts w:ascii="Arial" w:hAnsi="Arial" w:cs="Arial"/>
                <w:sz w:val="17"/>
                <w:szCs w:val="17"/>
              </w:rPr>
              <w:t>Bancos/Dependencias y Otros</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F40307">
              <w:rPr>
                <w:rFonts w:ascii="Arial" w:hAnsi="Arial" w:cs="Arial"/>
                <w:sz w:val="17"/>
                <w:szCs w:val="17"/>
              </w:rPr>
              <w:t xml:space="preserve"> 11,203,660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F40307">
              <w:rPr>
                <w:rFonts w:ascii="Arial" w:hAnsi="Arial" w:cs="Arial"/>
                <w:sz w:val="17"/>
                <w:szCs w:val="17"/>
              </w:rPr>
              <w:t xml:space="preserve"> 8,864,125 </w:t>
            </w:r>
          </w:p>
        </w:tc>
      </w:tr>
      <w:tr w:rsidR="006520E3" w:rsidRPr="006A0E82"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6A0E82" w:rsidRDefault="006520E3" w:rsidP="00137283">
            <w:pPr>
              <w:rPr>
                <w:rFonts w:ascii="Arial" w:hAnsi="Arial" w:cs="Arial"/>
                <w:sz w:val="17"/>
                <w:szCs w:val="17"/>
              </w:rPr>
            </w:pPr>
            <w:r w:rsidRPr="006A0E82">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731,623,348 </w:t>
            </w:r>
          </w:p>
        </w:tc>
        <w:tc>
          <w:tcPr>
            <w:tcW w:w="2180" w:type="dxa"/>
            <w:tcBorders>
              <w:top w:val="single" w:sz="4" w:space="0" w:color="auto"/>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1,066,178,993 </w:t>
            </w:r>
          </w:p>
        </w:tc>
      </w:tr>
      <w:tr w:rsidR="006520E3" w:rsidRPr="006A0E82"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6A0E82" w:rsidRDefault="006520E3" w:rsidP="00137283">
            <w:pPr>
              <w:rPr>
                <w:rFonts w:ascii="Arial" w:hAnsi="Arial" w:cs="Arial"/>
                <w:sz w:val="17"/>
                <w:szCs w:val="17"/>
              </w:rPr>
            </w:pPr>
            <w:r w:rsidRPr="006A0E82">
              <w:rPr>
                <w:rFonts w:ascii="Arial" w:hAnsi="Arial" w:cs="Arial"/>
                <w:sz w:val="17"/>
                <w:szCs w:val="17"/>
              </w:rPr>
              <w:t>Fondos con Afectación Específica</w:t>
            </w:r>
          </w:p>
        </w:tc>
        <w:tc>
          <w:tcPr>
            <w:tcW w:w="2180" w:type="dxa"/>
            <w:tcBorders>
              <w:top w:val="single" w:sz="4" w:space="0" w:color="auto"/>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   </w:t>
            </w:r>
          </w:p>
        </w:tc>
      </w:tr>
      <w:tr w:rsidR="006520E3" w:rsidRPr="006A0E82"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6A0E82" w:rsidRDefault="006520E3" w:rsidP="00137283">
            <w:pPr>
              <w:rPr>
                <w:rFonts w:ascii="Arial" w:hAnsi="Arial" w:cs="Arial"/>
                <w:sz w:val="17"/>
                <w:szCs w:val="17"/>
              </w:rPr>
            </w:pPr>
            <w:r w:rsidRPr="006A0E82">
              <w:rPr>
                <w:rFonts w:ascii="Arial" w:hAnsi="Arial" w:cs="Arial"/>
                <w:sz w:val="17"/>
                <w:szCs w:val="17"/>
              </w:rPr>
              <w:t>Depósitos de Fondos de Terceros en Garantía  y/o Administración</w:t>
            </w:r>
          </w:p>
        </w:tc>
        <w:tc>
          <w:tcPr>
            <w:tcW w:w="2180" w:type="dxa"/>
            <w:tcBorders>
              <w:top w:val="single" w:sz="4" w:space="0" w:color="auto"/>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2,500 </w:t>
            </w:r>
          </w:p>
        </w:tc>
      </w:tr>
      <w:tr w:rsidR="006520E3" w:rsidRPr="006A0E82"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6A0E82" w:rsidRDefault="006520E3" w:rsidP="00137283">
            <w:pPr>
              <w:rPr>
                <w:rFonts w:ascii="Arial" w:hAnsi="Arial" w:cs="Arial"/>
                <w:sz w:val="17"/>
                <w:szCs w:val="17"/>
              </w:rPr>
            </w:pPr>
            <w:r w:rsidRPr="006A0E82">
              <w:rPr>
                <w:rFonts w:ascii="Arial" w:hAnsi="Arial" w:cs="Arial"/>
                <w:sz w:val="17"/>
                <w:szCs w:val="17"/>
              </w:rPr>
              <w:t>Otros Efectivos y Equivalentes</w:t>
            </w:r>
          </w:p>
        </w:tc>
        <w:tc>
          <w:tcPr>
            <w:tcW w:w="2180" w:type="dxa"/>
            <w:tcBorders>
              <w:top w:val="nil"/>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   </w:t>
            </w:r>
          </w:p>
        </w:tc>
      </w:tr>
      <w:tr w:rsidR="006520E3" w:rsidRPr="006A0E82" w:rsidTr="00137283">
        <w:trPr>
          <w:trHeight w:val="240"/>
          <w:jc w:val="center"/>
        </w:trPr>
        <w:tc>
          <w:tcPr>
            <w:tcW w:w="4900" w:type="dxa"/>
            <w:tcBorders>
              <w:top w:val="nil"/>
              <w:left w:val="nil"/>
              <w:bottom w:val="nil"/>
              <w:right w:val="single" w:sz="4" w:space="0" w:color="auto"/>
            </w:tcBorders>
            <w:shd w:val="clear" w:color="000000" w:fill="FFFFFF"/>
            <w:vAlign w:val="center"/>
            <w:hideMark/>
          </w:tcPr>
          <w:p w:rsidR="006520E3" w:rsidRPr="006A0E82" w:rsidRDefault="006520E3" w:rsidP="00137283">
            <w:pPr>
              <w:jc w:val="center"/>
              <w:rPr>
                <w:rFonts w:ascii="Arial" w:hAnsi="Arial" w:cs="Arial"/>
                <w:b/>
                <w:bCs/>
                <w:color w:val="000000"/>
                <w:sz w:val="17"/>
                <w:szCs w:val="17"/>
              </w:rPr>
            </w:pPr>
            <w:r w:rsidRPr="006A0E82">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000000" w:fill="FFFFFF"/>
            <w:hideMark/>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5,998,176,043 </w:t>
            </w:r>
          </w:p>
        </w:tc>
        <w:tc>
          <w:tcPr>
            <w:tcW w:w="2180" w:type="dxa"/>
            <w:tcBorders>
              <w:top w:val="nil"/>
              <w:left w:val="single" w:sz="4" w:space="0" w:color="auto"/>
              <w:bottom w:val="single" w:sz="4" w:space="0" w:color="auto"/>
              <w:right w:val="single" w:sz="4" w:space="0" w:color="auto"/>
            </w:tcBorders>
            <w:shd w:val="clear" w:color="000000" w:fill="FFFFFF"/>
            <w:hideMark/>
          </w:tcPr>
          <w:p w:rsidR="006520E3" w:rsidRPr="006A0E82" w:rsidRDefault="006520E3" w:rsidP="00137283">
            <w:pPr>
              <w:jc w:val="right"/>
              <w:rPr>
                <w:rFonts w:ascii="Arial" w:hAnsi="Arial" w:cs="Arial"/>
                <w:sz w:val="17"/>
                <w:szCs w:val="17"/>
              </w:rPr>
            </w:pPr>
            <w:r w:rsidRPr="00F40307">
              <w:rPr>
                <w:rFonts w:ascii="Arial" w:hAnsi="Arial" w:cs="Arial"/>
                <w:sz w:val="17"/>
                <w:szCs w:val="17"/>
              </w:rPr>
              <w:t xml:space="preserve"> 6,189,401,537 </w:t>
            </w:r>
          </w:p>
        </w:tc>
      </w:tr>
    </w:tbl>
    <w:p w:rsidR="006520E3" w:rsidRPr="006A0E82" w:rsidRDefault="006520E3" w:rsidP="006520E3">
      <w:pPr>
        <w:spacing w:before="80" w:line="250" w:lineRule="exact"/>
        <w:ind w:left="709"/>
        <w:jc w:val="both"/>
        <w:rPr>
          <w:rFonts w:ascii="Arial" w:eastAsia="Calibri" w:hAnsi="Arial" w:cs="Arial"/>
          <w:spacing w:val="-1"/>
          <w:sz w:val="17"/>
          <w:szCs w:val="17"/>
        </w:rPr>
      </w:pPr>
    </w:p>
    <w:p w:rsidR="006520E3" w:rsidRPr="00FA4CD3" w:rsidRDefault="006520E3" w:rsidP="006520E3">
      <w:pPr>
        <w:spacing w:before="80" w:line="250" w:lineRule="exact"/>
        <w:ind w:left="709"/>
        <w:jc w:val="both"/>
        <w:rPr>
          <w:rFonts w:ascii="Arial" w:eastAsia="Calibri" w:hAnsi="Arial" w:cs="Arial"/>
          <w:spacing w:val="-1"/>
          <w:sz w:val="17"/>
          <w:szCs w:val="17"/>
        </w:rPr>
      </w:pPr>
      <w:r w:rsidRPr="00FA4CD3">
        <w:rPr>
          <w:rFonts w:ascii="Arial" w:eastAsia="Calibri" w:hAnsi="Arial" w:cs="Arial"/>
          <w:spacing w:val="-1"/>
          <w:sz w:val="17"/>
          <w:szCs w:val="17"/>
        </w:rPr>
        <w:t>Se presenta un decremento del 3% en el rubro de efectivo y equivalentes derivado principalmente de la disminución en la cuenta de Inversiones Temporales (Hasta 3 Meses).</w:t>
      </w:r>
    </w:p>
    <w:p w:rsidR="006520E3" w:rsidRDefault="006520E3" w:rsidP="006520E3">
      <w:pPr>
        <w:spacing w:before="80" w:line="250" w:lineRule="exact"/>
        <w:ind w:left="709"/>
        <w:jc w:val="both"/>
        <w:rPr>
          <w:rFonts w:ascii="Arial" w:eastAsia="Calibri" w:hAnsi="Arial" w:cs="Arial"/>
          <w:spacing w:val="-1"/>
          <w:sz w:val="17"/>
          <w:szCs w:val="17"/>
        </w:rPr>
      </w:pPr>
      <w:r w:rsidRPr="00FA4CD3">
        <w:rPr>
          <w:rFonts w:ascii="Arial" w:eastAsia="Calibri" w:hAnsi="Arial" w:cs="Arial"/>
          <w:spacing w:val="-1"/>
          <w:sz w:val="17"/>
          <w:szCs w:val="17"/>
        </w:rPr>
        <w:t>El saldo de la cuenta de Bancos/Dependencias y Otros, está constituido por una cuenta en administración correspondiente a la Junta Local de Conciliación y Arbitraje.</w:t>
      </w: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Pr="002D70DA" w:rsidRDefault="006520E3" w:rsidP="006520E3">
      <w:pPr>
        <w:spacing w:before="80" w:line="250" w:lineRule="exact"/>
        <w:ind w:firstLine="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Asimismo, se informa el tipo, el monto y el plazo de </w:t>
      </w:r>
      <w:r w:rsidRPr="00B445CD">
        <w:rPr>
          <w:rFonts w:ascii="Arial" w:eastAsia="Calibri" w:hAnsi="Arial" w:cs="Arial"/>
          <w:spacing w:val="-1"/>
          <w:sz w:val="17"/>
          <w:szCs w:val="17"/>
        </w:rPr>
        <w:t>las inversiones temporales menores a tres meses</w:t>
      </w:r>
      <w:r w:rsidRPr="002D70DA">
        <w:rPr>
          <w:rFonts w:ascii="Arial" w:eastAsia="Calibri" w:hAnsi="Arial" w:cs="Arial"/>
          <w:spacing w:val="-1"/>
          <w:sz w:val="17"/>
          <w:szCs w:val="17"/>
        </w:rPr>
        <w:t xml:space="preserve">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w:t>
      </w:r>
    </w:p>
    <w:p w:rsidR="006520E3" w:rsidRDefault="006520E3" w:rsidP="006520E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11440" w:type="dxa"/>
        <w:jc w:val="center"/>
        <w:tblCellMar>
          <w:left w:w="70" w:type="dxa"/>
          <w:right w:w="70" w:type="dxa"/>
        </w:tblCellMar>
        <w:tblLook w:val="04A0" w:firstRow="1" w:lastRow="0" w:firstColumn="1" w:lastColumn="0" w:noHBand="0" w:noVBand="1"/>
      </w:tblPr>
      <w:tblGrid>
        <w:gridCol w:w="4900"/>
        <w:gridCol w:w="2180"/>
        <w:gridCol w:w="2180"/>
        <w:gridCol w:w="2180"/>
      </w:tblGrid>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Inversiones financieras hasta tres meses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Plazo</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E15FA3" w:rsidRDefault="006520E3" w:rsidP="00137283">
            <w:pPr>
              <w:rPr>
                <w:rFonts w:ascii="Arial" w:hAnsi="Arial" w:cs="Arial"/>
                <w:bCs/>
                <w:color w:val="000000"/>
                <w:sz w:val="17"/>
                <w:szCs w:val="17"/>
              </w:rPr>
            </w:pPr>
            <w:r w:rsidRPr="00E15FA3">
              <w:rPr>
                <w:rFonts w:ascii="Arial" w:hAnsi="Arial" w:cs="Arial"/>
                <w:bCs/>
                <w:color w:val="000000"/>
                <w:sz w:val="17"/>
                <w:szCs w:val="17"/>
              </w:rPr>
              <w:t>ACT 882361 RECURSOS DISPONIBLES EN INVERSION</w:t>
            </w:r>
          </w:p>
        </w:tc>
        <w:tc>
          <w:tcPr>
            <w:tcW w:w="2180" w:type="dxa"/>
            <w:tcBorders>
              <w:top w:val="nil"/>
              <w:left w:val="nil"/>
              <w:bottom w:val="single" w:sz="4" w:space="0" w:color="auto"/>
              <w:right w:val="single" w:sz="4" w:space="0" w:color="auto"/>
            </w:tcBorders>
            <w:shd w:val="clear" w:color="auto" w:fill="auto"/>
          </w:tcPr>
          <w:p w:rsidR="006520E3" w:rsidRPr="00E15FA3" w:rsidRDefault="006520E3" w:rsidP="00137283">
            <w:pPr>
              <w:jc w:val="center"/>
              <w:rPr>
                <w:rFonts w:ascii="Arial" w:hAnsi="Arial" w:cs="Arial"/>
                <w:bCs/>
                <w:color w:val="000000"/>
                <w:sz w:val="17"/>
                <w:szCs w:val="17"/>
              </w:rPr>
            </w:pPr>
            <w:r w:rsidRPr="00E15FA3">
              <w:rPr>
                <w:rFonts w:ascii="Arial" w:hAnsi="Arial" w:cs="Arial"/>
                <w:bCs/>
                <w:color w:val="000000"/>
                <w:sz w:val="17"/>
                <w:szCs w:val="17"/>
              </w:rPr>
              <w:t xml:space="preserve"> Inversión </w:t>
            </w:r>
          </w:p>
        </w:tc>
        <w:tc>
          <w:tcPr>
            <w:tcW w:w="2180" w:type="dxa"/>
            <w:tcBorders>
              <w:top w:val="nil"/>
              <w:left w:val="nil"/>
              <w:bottom w:val="single" w:sz="4" w:space="0" w:color="auto"/>
              <w:right w:val="single" w:sz="4" w:space="0" w:color="auto"/>
            </w:tcBorders>
            <w:shd w:val="clear" w:color="auto" w:fill="auto"/>
          </w:tcPr>
          <w:p w:rsidR="006520E3" w:rsidRPr="00FA4CD3" w:rsidRDefault="006520E3" w:rsidP="00137283">
            <w:pPr>
              <w:jc w:val="right"/>
              <w:rPr>
                <w:rFonts w:ascii="Arial" w:hAnsi="Arial" w:cs="Arial"/>
                <w:bCs/>
                <w:color w:val="000000"/>
                <w:sz w:val="17"/>
                <w:szCs w:val="17"/>
              </w:rPr>
            </w:pPr>
            <w:r w:rsidRPr="00FA4CD3">
              <w:rPr>
                <w:rFonts w:ascii="Arial" w:hAnsi="Arial" w:cs="Arial"/>
                <w:bCs/>
                <w:color w:val="000000"/>
                <w:sz w:val="17"/>
                <w:szCs w:val="17"/>
              </w:rPr>
              <w:t xml:space="preserve"> 39,285,266 </w:t>
            </w:r>
          </w:p>
        </w:tc>
        <w:tc>
          <w:tcPr>
            <w:tcW w:w="2180" w:type="dxa"/>
            <w:tcBorders>
              <w:top w:val="nil"/>
              <w:left w:val="nil"/>
              <w:bottom w:val="single" w:sz="4" w:space="0" w:color="auto"/>
              <w:right w:val="single" w:sz="4" w:space="0" w:color="auto"/>
            </w:tcBorders>
            <w:shd w:val="clear" w:color="auto" w:fill="auto"/>
            <w:vAlign w:val="center"/>
          </w:tcPr>
          <w:p w:rsidR="006520E3" w:rsidRPr="00EA1227" w:rsidRDefault="006520E3" w:rsidP="00137283">
            <w:pPr>
              <w:jc w:val="center"/>
              <w:rPr>
                <w:rFonts w:ascii="Arial" w:hAnsi="Arial" w:cs="Arial"/>
                <w:bCs/>
                <w:color w:val="000000"/>
                <w:sz w:val="17"/>
                <w:szCs w:val="17"/>
              </w:rPr>
            </w:pPr>
            <w:r w:rsidRPr="00EA1227">
              <w:rPr>
                <w:rFonts w:ascii="Arial" w:hAnsi="Arial" w:cs="Arial"/>
                <w:bCs/>
                <w:color w:val="000000"/>
                <w:sz w:val="17"/>
                <w:szCs w:val="17"/>
              </w:rPr>
              <w:t>31 días</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E15FA3" w:rsidRDefault="006520E3" w:rsidP="00137283">
            <w:pPr>
              <w:rPr>
                <w:rFonts w:ascii="Arial" w:hAnsi="Arial" w:cs="Arial"/>
                <w:bCs/>
                <w:color w:val="000000"/>
                <w:sz w:val="17"/>
                <w:szCs w:val="17"/>
              </w:rPr>
            </w:pPr>
            <w:r w:rsidRPr="00E15FA3">
              <w:rPr>
                <w:rFonts w:ascii="Arial" w:hAnsi="Arial" w:cs="Arial"/>
                <w:bCs/>
                <w:color w:val="000000"/>
                <w:sz w:val="17"/>
                <w:szCs w:val="17"/>
              </w:rPr>
              <w:t>MIF 01600261475 GEQ</w:t>
            </w:r>
          </w:p>
        </w:tc>
        <w:tc>
          <w:tcPr>
            <w:tcW w:w="2180" w:type="dxa"/>
            <w:tcBorders>
              <w:top w:val="nil"/>
              <w:left w:val="nil"/>
              <w:bottom w:val="single" w:sz="4" w:space="0" w:color="auto"/>
              <w:right w:val="single" w:sz="4" w:space="0" w:color="auto"/>
            </w:tcBorders>
            <w:shd w:val="clear" w:color="auto" w:fill="auto"/>
          </w:tcPr>
          <w:p w:rsidR="006520E3" w:rsidRPr="00E15FA3" w:rsidRDefault="006520E3" w:rsidP="00137283">
            <w:pPr>
              <w:jc w:val="center"/>
              <w:rPr>
                <w:rFonts w:ascii="Arial" w:hAnsi="Arial" w:cs="Arial"/>
                <w:bCs/>
                <w:color w:val="000000"/>
                <w:sz w:val="17"/>
                <w:szCs w:val="17"/>
              </w:rPr>
            </w:pPr>
            <w:r w:rsidRPr="00E15FA3">
              <w:rPr>
                <w:rFonts w:ascii="Arial" w:hAnsi="Arial" w:cs="Arial"/>
                <w:bCs/>
                <w:color w:val="000000"/>
                <w:sz w:val="17"/>
                <w:szCs w:val="17"/>
              </w:rPr>
              <w:t xml:space="preserve"> Inversión </w:t>
            </w:r>
          </w:p>
        </w:tc>
        <w:tc>
          <w:tcPr>
            <w:tcW w:w="2180" w:type="dxa"/>
            <w:tcBorders>
              <w:top w:val="nil"/>
              <w:left w:val="nil"/>
              <w:bottom w:val="single" w:sz="4" w:space="0" w:color="auto"/>
              <w:right w:val="single" w:sz="4" w:space="0" w:color="auto"/>
            </w:tcBorders>
            <w:shd w:val="clear" w:color="auto" w:fill="auto"/>
          </w:tcPr>
          <w:p w:rsidR="006520E3" w:rsidRPr="00FA4CD3" w:rsidRDefault="006520E3" w:rsidP="00137283">
            <w:pPr>
              <w:jc w:val="right"/>
              <w:rPr>
                <w:rFonts w:ascii="Arial" w:hAnsi="Arial" w:cs="Arial"/>
                <w:bCs/>
                <w:color w:val="000000"/>
                <w:sz w:val="17"/>
                <w:szCs w:val="17"/>
              </w:rPr>
            </w:pPr>
            <w:r w:rsidRPr="00FA4CD3">
              <w:rPr>
                <w:rFonts w:ascii="Arial" w:hAnsi="Arial" w:cs="Arial"/>
                <w:bCs/>
                <w:color w:val="000000"/>
                <w:sz w:val="17"/>
                <w:szCs w:val="17"/>
              </w:rPr>
              <w:t xml:space="preserve"> 202,337,455 </w:t>
            </w:r>
          </w:p>
        </w:tc>
        <w:tc>
          <w:tcPr>
            <w:tcW w:w="2180" w:type="dxa"/>
            <w:tcBorders>
              <w:top w:val="nil"/>
              <w:left w:val="nil"/>
              <w:bottom w:val="single" w:sz="4" w:space="0" w:color="auto"/>
              <w:right w:val="single" w:sz="4" w:space="0" w:color="auto"/>
            </w:tcBorders>
            <w:shd w:val="clear" w:color="auto" w:fill="auto"/>
          </w:tcPr>
          <w:p w:rsidR="006520E3" w:rsidRPr="00EA1227" w:rsidRDefault="006520E3" w:rsidP="00137283">
            <w:pPr>
              <w:jc w:val="center"/>
            </w:pPr>
            <w:r w:rsidRPr="00EA1227">
              <w:rPr>
                <w:rFonts w:ascii="Arial" w:hAnsi="Arial" w:cs="Arial"/>
                <w:bCs/>
                <w:color w:val="000000"/>
                <w:sz w:val="17"/>
                <w:szCs w:val="17"/>
              </w:rPr>
              <w:t>31 días</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E15FA3" w:rsidRDefault="006520E3" w:rsidP="00137283">
            <w:pPr>
              <w:rPr>
                <w:rFonts w:ascii="Arial" w:hAnsi="Arial" w:cs="Arial"/>
                <w:bCs/>
                <w:color w:val="000000"/>
                <w:sz w:val="17"/>
                <w:szCs w:val="17"/>
              </w:rPr>
            </w:pPr>
            <w:r w:rsidRPr="00FD6822">
              <w:rPr>
                <w:rFonts w:ascii="Arial" w:hAnsi="Arial" w:cs="Arial"/>
                <w:bCs/>
                <w:color w:val="000000"/>
                <w:sz w:val="17"/>
                <w:szCs w:val="17"/>
              </w:rPr>
              <w:t>BVA 446533590 PAGO A PROVEEDORES NOMINA EFECTIV</w:t>
            </w:r>
          </w:p>
        </w:tc>
        <w:tc>
          <w:tcPr>
            <w:tcW w:w="2180" w:type="dxa"/>
            <w:tcBorders>
              <w:top w:val="nil"/>
              <w:left w:val="nil"/>
              <w:bottom w:val="single" w:sz="4" w:space="0" w:color="auto"/>
              <w:right w:val="single" w:sz="4" w:space="0" w:color="auto"/>
            </w:tcBorders>
            <w:shd w:val="clear" w:color="auto" w:fill="auto"/>
          </w:tcPr>
          <w:p w:rsidR="006520E3" w:rsidRPr="00E15FA3" w:rsidRDefault="006520E3" w:rsidP="00137283">
            <w:pPr>
              <w:jc w:val="center"/>
              <w:rPr>
                <w:rFonts w:ascii="Arial" w:hAnsi="Arial" w:cs="Arial"/>
                <w:bCs/>
                <w:color w:val="000000"/>
                <w:sz w:val="17"/>
                <w:szCs w:val="17"/>
              </w:rPr>
            </w:pPr>
            <w:r w:rsidRPr="00E15FA3">
              <w:rPr>
                <w:rFonts w:ascii="Arial" w:hAnsi="Arial" w:cs="Arial"/>
                <w:bCs/>
                <w:color w:val="000000"/>
                <w:sz w:val="17"/>
                <w:szCs w:val="17"/>
              </w:rPr>
              <w:t>Inversión</w:t>
            </w:r>
          </w:p>
        </w:tc>
        <w:tc>
          <w:tcPr>
            <w:tcW w:w="2180" w:type="dxa"/>
            <w:tcBorders>
              <w:top w:val="nil"/>
              <w:left w:val="nil"/>
              <w:bottom w:val="single" w:sz="4" w:space="0" w:color="auto"/>
              <w:right w:val="single" w:sz="4" w:space="0" w:color="auto"/>
            </w:tcBorders>
            <w:shd w:val="clear" w:color="auto" w:fill="auto"/>
          </w:tcPr>
          <w:p w:rsidR="006520E3" w:rsidRPr="00FA4CD3" w:rsidRDefault="006520E3" w:rsidP="00137283">
            <w:pPr>
              <w:jc w:val="right"/>
              <w:rPr>
                <w:rFonts w:ascii="Arial" w:hAnsi="Arial" w:cs="Arial"/>
                <w:bCs/>
                <w:color w:val="000000"/>
                <w:sz w:val="17"/>
                <w:szCs w:val="17"/>
              </w:rPr>
            </w:pPr>
            <w:r w:rsidRPr="00FA4CD3">
              <w:rPr>
                <w:rFonts w:ascii="Arial" w:hAnsi="Arial" w:cs="Arial"/>
                <w:bCs/>
                <w:color w:val="000000"/>
                <w:sz w:val="17"/>
                <w:szCs w:val="17"/>
              </w:rPr>
              <w:t xml:space="preserve"> 329,835 </w:t>
            </w:r>
          </w:p>
        </w:tc>
        <w:tc>
          <w:tcPr>
            <w:tcW w:w="2180" w:type="dxa"/>
            <w:tcBorders>
              <w:top w:val="nil"/>
              <w:left w:val="nil"/>
              <w:bottom w:val="single" w:sz="4" w:space="0" w:color="auto"/>
              <w:right w:val="single" w:sz="4" w:space="0" w:color="auto"/>
            </w:tcBorders>
            <w:shd w:val="clear" w:color="auto" w:fill="auto"/>
          </w:tcPr>
          <w:p w:rsidR="006520E3" w:rsidRPr="00EA1227" w:rsidRDefault="006520E3" w:rsidP="00137283">
            <w:pPr>
              <w:jc w:val="center"/>
              <w:rPr>
                <w:rFonts w:ascii="Arial" w:hAnsi="Arial" w:cs="Arial"/>
                <w:bCs/>
                <w:color w:val="000000"/>
                <w:sz w:val="17"/>
                <w:szCs w:val="17"/>
              </w:rPr>
            </w:pPr>
            <w:r w:rsidRPr="00EA1227">
              <w:rPr>
                <w:rFonts w:ascii="Arial" w:hAnsi="Arial" w:cs="Arial"/>
                <w:bCs/>
                <w:color w:val="000000"/>
                <w:sz w:val="17"/>
                <w:szCs w:val="17"/>
              </w:rPr>
              <w:t>31 días</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E15FA3" w:rsidRDefault="006520E3" w:rsidP="00137283">
            <w:pPr>
              <w:rPr>
                <w:rFonts w:ascii="Arial" w:hAnsi="Arial" w:cs="Arial"/>
                <w:bCs/>
                <w:color w:val="000000"/>
                <w:sz w:val="17"/>
                <w:szCs w:val="17"/>
              </w:rPr>
            </w:pPr>
            <w:r w:rsidRPr="00E15FA3">
              <w:rPr>
                <w:rFonts w:ascii="Arial" w:hAnsi="Arial" w:cs="Arial"/>
                <w:bCs/>
                <w:color w:val="000000"/>
                <w:sz w:val="17"/>
                <w:szCs w:val="17"/>
              </w:rPr>
              <w:t>BSI 98091033 GEQ</w:t>
            </w:r>
          </w:p>
        </w:tc>
        <w:tc>
          <w:tcPr>
            <w:tcW w:w="2180" w:type="dxa"/>
            <w:tcBorders>
              <w:top w:val="nil"/>
              <w:left w:val="nil"/>
              <w:bottom w:val="single" w:sz="4" w:space="0" w:color="auto"/>
              <w:right w:val="single" w:sz="4" w:space="0" w:color="auto"/>
            </w:tcBorders>
            <w:shd w:val="clear" w:color="auto" w:fill="auto"/>
          </w:tcPr>
          <w:p w:rsidR="006520E3" w:rsidRPr="00E15FA3" w:rsidRDefault="006520E3" w:rsidP="00137283">
            <w:pPr>
              <w:jc w:val="center"/>
              <w:rPr>
                <w:rFonts w:ascii="Arial" w:hAnsi="Arial" w:cs="Arial"/>
                <w:bCs/>
                <w:color w:val="000000"/>
                <w:sz w:val="17"/>
                <w:szCs w:val="17"/>
              </w:rPr>
            </w:pPr>
            <w:r w:rsidRPr="00E15FA3">
              <w:rPr>
                <w:rFonts w:ascii="Arial" w:hAnsi="Arial" w:cs="Arial"/>
                <w:bCs/>
                <w:color w:val="000000"/>
                <w:sz w:val="17"/>
                <w:szCs w:val="17"/>
              </w:rPr>
              <w:t xml:space="preserve"> Inversión </w:t>
            </w:r>
          </w:p>
        </w:tc>
        <w:tc>
          <w:tcPr>
            <w:tcW w:w="2180" w:type="dxa"/>
            <w:tcBorders>
              <w:top w:val="nil"/>
              <w:left w:val="nil"/>
              <w:bottom w:val="single" w:sz="4" w:space="0" w:color="auto"/>
              <w:right w:val="single" w:sz="4" w:space="0" w:color="auto"/>
            </w:tcBorders>
            <w:shd w:val="clear" w:color="auto" w:fill="auto"/>
          </w:tcPr>
          <w:p w:rsidR="006520E3" w:rsidRPr="00FA4CD3" w:rsidRDefault="006520E3" w:rsidP="00137283">
            <w:pPr>
              <w:jc w:val="right"/>
              <w:rPr>
                <w:rFonts w:ascii="Arial" w:hAnsi="Arial" w:cs="Arial"/>
                <w:bCs/>
                <w:color w:val="000000"/>
                <w:sz w:val="17"/>
                <w:szCs w:val="17"/>
              </w:rPr>
            </w:pPr>
            <w:r w:rsidRPr="00FA4CD3">
              <w:rPr>
                <w:rFonts w:ascii="Arial" w:hAnsi="Arial" w:cs="Arial"/>
                <w:bCs/>
                <w:color w:val="000000"/>
                <w:sz w:val="17"/>
                <w:szCs w:val="17"/>
              </w:rPr>
              <w:t xml:space="preserve"> 80,120,994 </w:t>
            </w:r>
          </w:p>
        </w:tc>
        <w:tc>
          <w:tcPr>
            <w:tcW w:w="2180" w:type="dxa"/>
            <w:tcBorders>
              <w:top w:val="nil"/>
              <w:left w:val="nil"/>
              <w:bottom w:val="single" w:sz="4" w:space="0" w:color="auto"/>
              <w:right w:val="single" w:sz="4" w:space="0" w:color="auto"/>
            </w:tcBorders>
            <w:shd w:val="clear" w:color="auto" w:fill="auto"/>
          </w:tcPr>
          <w:p w:rsidR="006520E3" w:rsidRPr="00EA1227" w:rsidRDefault="006520E3" w:rsidP="00137283">
            <w:pPr>
              <w:jc w:val="center"/>
            </w:pPr>
            <w:r w:rsidRPr="00EA1227">
              <w:rPr>
                <w:rFonts w:ascii="Arial" w:hAnsi="Arial" w:cs="Arial"/>
                <w:bCs/>
                <w:color w:val="000000"/>
                <w:sz w:val="17"/>
                <w:szCs w:val="17"/>
              </w:rPr>
              <w:t>31 días</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E15FA3" w:rsidRDefault="006520E3" w:rsidP="00137283">
            <w:pPr>
              <w:rPr>
                <w:rFonts w:ascii="Arial" w:hAnsi="Arial" w:cs="Arial"/>
                <w:bCs/>
                <w:color w:val="000000"/>
                <w:sz w:val="17"/>
                <w:szCs w:val="17"/>
              </w:rPr>
            </w:pPr>
            <w:r w:rsidRPr="00E15FA3">
              <w:rPr>
                <w:rFonts w:ascii="Arial" w:hAnsi="Arial" w:cs="Arial"/>
                <w:bCs/>
                <w:color w:val="000000"/>
                <w:sz w:val="17"/>
                <w:szCs w:val="17"/>
              </w:rPr>
              <w:t>MUL 05818745 RECURSOS GEQ</w:t>
            </w:r>
          </w:p>
        </w:tc>
        <w:tc>
          <w:tcPr>
            <w:tcW w:w="2180" w:type="dxa"/>
            <w:tcBorders>
              <w:top w:val="nil"/>
              <w:left w:val="nil"/>
              <w:bottom w:val="single" w:sz="4" w:space="0" w:color="auto"/>
              <w:right w:val="single" w:sz="4" w:space="0" w:color="auto"/>
            </w:tcBorders>
            <w:shd w:val="clear" w:color="auto" w:fill="auto"/>
          </w:tcPr>
          <w:p w:rsidR="006520E3" w:rsidRPr="00E15FA3" w:rsidRDefault="006520E3" w:rsidP="00137283">
            <w:pPr>
              <w:jc w:val="center"/>
              <w:rPr>
                <w:rFonts w:ascii="Arial" w:hAnsi="Arial" w:cs="Arial"/>
                <w:bCs/>
                <w:color w:val="000000"/>
                <w:sz w:val="17"/>
                <w:szCs w:val="17"/>
              </w:rPr>
            </w:pPr>
            <w:r w:rsidRPr="00E15FA3">
              <w:rPr>
                <w:rFonts w:ascii="Arial" w:hAnsi="Arial" w:cs="Arial"/>
                <w:bCs/>
                <w:color w:val="000000"/>
                <w:sz w:val="17"/>
                <w:szCs w:val="17"/>
              </w:rPr>
              <w:t xml:space="preserve"> Inversión </w:t>
            </w:r>
          </w:p>
        </w:tc>
        <w:tc>
          <w:tcPr>
            <w:tcW w:w="2180" w:type="dxa"/>
            <w:tcBorders>
              <w:top w:val="nil"/>
              <w:left w:val="nil"/>
              <w:bottom w:val="single" w:sz="4" w:space="0" w:color="auto"/>
              <w:right w:val="single" w:sz="4" w:space="0" w:color="auto"/>
            </w:tcBorders>
            <w:shd w:val="clear" w:color="auto" w:fill="auto"/>
          </w:tcPr>
          <w:p w:rsidR="006520E3" w:rsidRPr="00FA4CD3" w:rsidRDefault="006520E3" w:rsidP="00137283">
            <w:pPr>
              <w:jc w:val="right"/>
              <w:rPr>
                <w:rFonts w:ascii="Arial" w:hAnsi="Arial" w:cs="Arial"/>
                <w:bCs/>
                <w:color w:val="000000"/>
                <w:sz w:val="17"/>
                <w:szCs w:val="17"/>
              </w:rPr>
            </w:pPr>
            <w:r w:rsidRPr="00FA4CD3">
              <w:rPr>
                <w:rFonts w:ascii="Arial" w:hAnsi="Arial" w:cs="Arial"/>
                <w:bCs/>
                <w:color w:val="000000"/>
                <w:sz w:val="17"/>
                <w:szCs w:val="17"/>
              </w:rPr>
              <w:t xml:space="preserve"> 50,990,419 </w:t>
            </w:r>
          </w:p>
        </w:tc>
        <w:tc>
          <w:tcPr>
            <w:tcW w:w="2180" w:type="dxa"/>
            <w:tcBorders>
              <w:top w:val="nil"/>
              <w:left w:val="nil"/>
              <w:bottom w:val="single" w:sz="4" w:space="0" w:color="auto"/>
              <w:right w:val="single" w:sz="4" w:space="0" w:color="auto"/>
            </w:tcBorders>
            <w:shd w:val="clear" w:color="auto" w:fill="auto"/>
          </w:tcPr>
          <w:p w:rsidR="006520E3" w:rsidRPr="00EA1227" w:rsidRDefault="006520E3" w:rsidP="00137283">
            <w:pPr>
              <w:jc w:val="center"/>
            </w:pPr>
            <w:r w:rsidRPr="00EA1227">
              <w:rPr>
                <w:rFonts w:ascii="Arial" w:hAnsi="Arial" w:cs="Arial"/>
                <w:bCs/>
                <w:color w:val="000000"/>
                <w:sz w:val="17"/>
                <w:szCs w:val="17"/>
              </w:rPr>
              <w:t>31 días</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E15FA3" w:rsidRDefault="006520E3" w:rsidP="00137283">
            <w:pPr>
              <w:rPr>
                <w:rFonts w:ascii="Arial" w:hAnsi="Arial" w:cs="Arial"/>
                <w:bCs/>
                <w:color w:val="000000"/>
                <w:sz w:val="17"/>
                <w:szCs w:val="17"/>
              </w:rPr>
            </w:pPr>
            <w:r w:rsidRPr="00E15FA3">
              <w:rPr>
                <w:rFonts w:ascii="Arial" w:hAnsi="Arial" w:cs="Arial"/>
                <w:bCs/>
                <w:color w:val="000000"/>
                <w:sz w:val="17"/>
                <w:szCs w:val="17"/>
              </w:rPr>
              <w:t>VTR 533913 RESERVA ACTUARIAL</w:t>
            </w:r>
          </w:p>
        </w:tc>
        <w:tc>
          <w:tcPr>
            <w:tcW w:w="2180" w:type="dxa"/>
            <w:tcBorders>
              <w:top w:val="nil"/>
              <w:left w:val="nil"/>
              <w:bottom w:val="single" w:sz="4" w:space="0" w:color="auto"/>
              <w:right w:val="single" w:sz="4" w:space="0" w:color="auto"/>
            </w:tcBorders>
            <w:shd w:val="clear" w:color="auto" w:fill="auto"/>
          </w:tcPr>
          <w:p w:rsidR="006520E3" w:rsidRPr="00E15FA3" w:rsidRDefault="006520E3" w:rsidP="00137283">
            <w:pPr>
              <w:jc w:val="center"/>
              <w:rPr>
                <w:rFonts w:ascii="Arial" w:hAnsi="Arial" w:cs="Arial"/>
                <w:bCs/>
                <w:color w:val="000000"/>
                <w:sz w:val="17"/>
                <w:szCs w:val="17"/>
              </w:rPr>
            </w:pPr>
            <w:r w:rsidRPr="00E15FA3">
              <w:rPr>
                <w:rFonts w:ascii="Arial" w:hAnsi="Arial" w:cs="Arial"/>
                <w:bCs/>
                <w:color w:val="000000"/>
                <w:sz w:val="17"/>
                <w:szCs w:val="17"/>
              </w:rPr>
              <w:t xml:space="preserve"> Inversión </w:t>
            </w:r>
          </w:p>
        </w:tc>
        <w:tc>
          <w:tcPr>
            <w:tcW w:w="2180" w:type="dxa"/>
            <w:tcBorders>
              <w:top w:val="nil"/>
              <w:left w:val="nil"/>
              <w:bottom w:val="single" w:sz="4" w:space="0" w:color="auto"/>
              <w:right w:val="single" w:sz="4" w:space="0" w:color="auto"/>
            </w:tcBorders>
            <w:shd w:val="clear" w:color="auto" w:fill="auto"/>
          </w:tcPr>
          <w:p w:rsidR="006520E3" w:rsidRPr="00F40307" w:rsidRDefault="006520E3" w:rsidP="00137283">
            <w:pPr>
              <w:jc w:val="right"/>
              <w:rPr>
                <w:rFonts w:ascii="Arial" w:hAnsi="Arial" w:cs="Arial"/>
                <w:bCs/>
                <w:color w:val="000000"/>
                <w:sz w:val="17"/>
                <w:szCs w:val="17"/>
                <w:highlight w:val="yellow"/>
              </w:rPr>
            </w:pPr>
            <w:r>
              <w:rPr>
                <w:rFonts w:ascii="Arial" w:hAnsi="Arial" w:cs="Arial"/>
                <w:bCs/>
                <w:color w:val="000000"/>
                <w:sz w:val="17"/>
                <w:szCs w:val="17"/>
              </w:rPr>
              <w:t>358,559,379</w:t>
            </w:r>
          </w:p>
        </w:tc>
        <w:tc>
          <w:tcPr>
            <w:tcW w:w="2180" w:type="dxa"/>
            <w:tcBorders>
              <w:top w:val="nil"/>
              <w:left w:val="nil"/>
              <w:bottom w:val="single" w:sz="4" w:space="0" w:color="auto"/>
              <w:right w:val="single" w:sz="4" w:space="0" w:color="auto"/>
            </w:tcBorders>
            <w:shd w:val="clear" w:color="auto" w:fill="auto"/>
          </w:tcPr>
          <w:p w:rsidR="006520E3" w:rsidRPr="00EA1227" w:rsidRDefault="006520E3" w:rsidP="00137283">
            <w:pPr>
              <w:jc w:val="center"/>
            </w:pPr>
            <w:r w:rsidRPr="00EA1227">
              <w:rPr>
                <w:rFonts w:ascii="Arial" w:hAnsi="Arial" w:cs="Arial"/>
                <w:bCs/>
                <w:color w:val="000000"/>
                <w:sz w:val="17"/>
                <w:szCs w:val="17"/>
              </w:rPr>
              <w:t>1 día</w:t>
            </w:r>
          </w:p>
        </w:tc>
      </w:tr>
      <w:tr w:rsidR="006520E3" w:rsidRPr="002D70DA" w:rsidTr="00137283">
        <w:trPr>
          <w:trHeight w:val="240"/>
          <w:jc w:val="center"/>
        </w:trPr>
        <w:tc>
          <w:tcPr>
            <w:tcW w:w="4900" w:type="dxa"/>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color w:val="000000"/>
                <w:sz w:val="17"/>
                <w:szCs w:val="17"/>
              </w:rPr>
            </w:pPr>
            <w:r w:rsidRPr="002D70DA">
              <w:rPr>
                <w:rFonts w:ascii="Arial" w:hAnsi="Arial" w:cs="Arial"/>
                <w:color w:val="000000"/>
                <w:sz w:val="17"/>
                <w:szCs w:val="17"/>
              </w:rPr>
              <w:t> </w:t>
            </w:r>
          </w:p>
        </w:tc>
        <w:tc>
          <w:tcPr>
            <w:tcW w:w="2180" w:type="dxa"/>
            <w:tcBorders>
              <w:top w:val="nil"/>
              <w:left w:val="single" w:sz="4" w:space="0" w:color="auto"/>
              <w:bottom w:val="single" w:sz="4" w:space="0" w:color="auto"/>
              <w:right w:val="single" w:sz="4" w:space="0" w:color="auto"/>
            </w:tcBorders>
            <w:shd w:val="clear" w:color="000000" w:fill="FFFFFF"/>
            <w:hideMark/>
          </w:tcPr>
          <w:p w:rsidR="006520E3" w:rsidRPr="00FA4CD3" w:rsidRDefault="006520E3" w:rsidP="00137283">
            <w:pPr>
              <w:jc w:val="right"/>
              <w:rPr>
                <w:rFonts w:ascii="Arial" w:hAnsi="Arial" w:cs="Arial"/>
                <w:bCs/>
                <w:color w:val="000000"/>
                <w:sz w:val="17"/>
                <w:szCs w:val="17"/>
              </w:rPr>
            </w:pPr>
            <w:r w:rsidRPr="00FA4CD3">
              <w:rPr>
                <w:rFonts w:ascii="Arial" w:hAnsi="Arial" w:cs="Arial"/>
                <w:bCs/>
                <w:color w:val="000000"/>
                <w:sz w:val="17"/>
                <w:szCs w:val="17"/>
              </w:rPr>
              <w:t>731,623,348</w:t>
            </w:r>
          </w:p>
        </w:tc>
        <w:tc>
          <w:tcPr>
            <w:tcW w:w="2180" w:type="dxa"/>
            <w:tcBorders>
              <w:top w:val="nil"/>
              <w:left w:val="nil"/>
              <w:bottom w:val="nil"/>
              <w:right w:val="nil"/>
            </w:tcBorders>
            <w:shd w:val="clear" w:color="000000" w:fill="FFFFFF"/>
            <w:vAlign w:val="center"/>
            <w:hideMark/>
          </w:tcPr>
          <w:p w:rsidR="006520E3" w:rsidRPr="00FA4CD3" w:rsidRDefault="006520E3" w:rsidP="00137283">
            <w:pPr>
              <w:jc w:val="both"/>
              <w:rPr>
                <w:rFonts w:ascii="Arial" w:hAnsi="Arial" w:cs="Arial"/>
                <w:color w:val="000000"/>
                <w:sz w:val="17"/>
                <w:szCs w:val="17"/>
              </w:rPr>
            </w:pPr>
            <w:r w:rsidRPr="00FA4CD3">
              <w:rPr>
                <w:rFonts w:ascii="Arial" w:hAnsi="Arial" w:cs="Arial"/>
                <w:color w:val="000000"/>
                <w:sz w:val="17"/>
                <w:szCs w:val="17"/>
              </w:rPr>
              <w:t> </w:t>
            </w:r>
          </w:p>
        </w:tc>
      </w:tr>
    </w:tbl>
    <w:p w:rsidR="006520E3" w:rsidRDefault="006520E3" w:rsidP="006520E3">
      <w:pPr>
        <w:pStyle w:val="Prrafodelista"/>
        <w:spacing w:before="80" w:line="250" w:lineRule="exact"/>
        <w:ind w:left="714"/>
        <w:contextualSpacing w:val="0"/>
        <w:jc w:val="both"/>
        <w:rPr>
          <w:rFonts w:ascii="Arial" w:eastAsia="Calibri" w:hAnsi="Arial" w:cs="Arial"/>
          <w:b/>
          <w:spacing w:val="-1"/>
          <w:sz w:val="17"/>
          <w:szCs w:val="17"/>
        </w:rPr>
      </w:pPr>
    </w:p>
    <w:p w:rsidR="00C148AF" w:rsidRPr="00F40307" w:rsidRDefault="00C148AF" w:rsidP="00C148AF">
      <w:pPr>
        <w:ind w:left="709"/>
        <w:jc w:val="both"/>
        <w:rPr>
          <w:rFonts w:ascii="Arial" w:hAnsi="Arial" w:cs="Arial"/>
          <w:bCs/>
          <w:color w:val="000000"/>
          <w:sz w:val="17"/>
          <w:szCs w:val="17"/>
          <w:highlight w:val="yellow"/>
        </w:rPr>
      </w:pPr>
      <w:r>
        <w:rPr>
          <w:rFonts w:ascii="Arial" w:eastAsia="Calibri" w:hAnsi="Arial" w:cs="Arial"/>
          <w:spacing w:val="-1"/>
          <w:sz w:val="17"/>
          <w:szCs w:val="17"/>
        </w:rPr>
        <w:t xml:space="preserve">Destaca un incremento en la cuenta VTR </w:t>
      </w:r>
      <w:r w:rsidRPr="00E15FA3">
        <w:rPr>
          <w:rFonts w:ascii="Arial" w:hAnsi="Arial" w:cs="Arial"/>
          <w:bCs/>
          <w:color w:val="000000"/>
          <w:sz w:val="17"/>
          <w:szCs w:val="17"/>
        </w:rPr>
        <w:t>533913 RESERVA ACTUARIAL</w:t>
      </w:r>
      <w:r>
        <w:rPr>
          <w:rFonts w:ascii="Arial" w:hAnsi="Arial" w:cs="Arial"/>
          <w:bCs/>
          <w:color w:val="000000"/>
          <w:sz w:val="17"/>
          <w:szCs w:val="17"/>
        </w:rPr>
        <w:t xml:space="preserve"> por un importe de </w:t>
      </w:r>
      <w:r w:rsidR="00C61AD4" w:rsidRPr="00C61AD4">
        <w:rPr>
          <w:rFonts w:ascii="Arial" w:hAnsi="Arial" w:cs="Arial"/>
          <w:bCs/>
          <w:color w:val="000000"/>
          <w:sz w:val="17"/>
          <w:szCs w:val="17"/>
        </w:rPr>
        <w:t>212</w:t>
      </w:r>
      <w:proofErr w:type="gramStart"/>
      <w:r w:rsidR="00C61AD4" w:rsidRPr="00C61AD4">
        <w:rPr>
          <w:rFonts w:ascii="Arial" w:hAnsi="Arial" w:cs="Arial"/>
          <w:bCs/>
          <w:color w:val="000000"/>
          <w:sz w:val="17"/>
          <w:szCs w:val="17"/>
        </w:rPr>
        <w:t>,439,887</w:t>
      </w:r>
      <w:proofErr w:type="gramEnd"/>
      <w:r>
        <w:rPr>
          <w:rFonts w:ascii="Arial" w:hAnsi="Arial" w:cs="Arial"/>
          <w:bCs/>
          <w:color w:val="000000"/>
          <w:sz w:val="17"/>
          <w:szCs w:val="17"/>
        </w:rPr>
        <w:t xml:space="preserve">, presentando al 31 de </w:t>
      </w:r>
      <w:r w:rsidR="0050443D">
        <w:rPr>
          <w:rFonts w:ascii="Arial" w:hAnsi="Arial" w:cs="Arial"/>
          <w:bCs/>
          <w:color w:val="000000"/>
          <w:sz w:val="17"/>
          <w:szCs w:val="17"/>
        </w:rPr>
        <w:t>Diciembre</w:t>
      </w:r>
      <w:r>
        <w:rPr>
          <w:rFonts w:ascii="Arial" w:hAnsi="Arial" w:cs="Arial"/>
          <w:bCs/>
          <w:color w:val="000000"/>
          <w:sz w:val="17"/>
          <w:szCs w:val="17"/>
        </w:rPr>
        <w:t xml:space="preserve"> de 2019 un saldo de 358,559,379 destinado para pagos de pensiones y jubilaciones.</w:t>
      </w:r>
    </w:p>
    <w:p w:rsidR="00C148AF" w:rsidRPr="00F50AC7" w:rsidRDefault="00C148AF" w:rsidP="00C148AF">
      <w:pPr>
        <w:spacing w:before="120" w:after="120" w:line="240" w:lineRule="exact"/>
        <w:ind w:left="709"/>
        <w:jc w:val="both"/>
        <w:rPr>
          <w:rFonts w:ascii="Arial" w:eastAsia="Calibri" w:hAnsi="Arial" w:cs="Arial"/>
          <w:spacing w:val="-1"/>
          <w:sz w:val="17"/>
          <w:szCs w:val="17"/>
        </w:rPr>
      </w:pPr>
      <w:r>
        <w:rPr>
          <w:rFonts w:ascii="Arial" w:hAnsi="Arial" w:cs="Arial"/>
          <w:bCs/>
          <w:color w:val="000000"/>
          <w:sz w:val="17"/>
          <w:szCs w:val="17"/>
        </w:rPr>
        <w:t xml:space="preserve"> </w:t>
      </w:r>
    </w:p>
    <w:p w:rsidR="00C148AF" w:rsidRDefault="00C148AF" w:rsidP="006520E3">
      <w:pPr>
        <w:pStyle w:val="Prrafodelista"/>
        <w:spacing w:before="80" w:line="250" w:lineRule="exact"/>
        <w:ind w:left="714"/>
        <w:contextualSpacing w:val="0"/>
        <w:jc w:val="both"/>
        <w:rPr>
          <w:rFonts w:ascii="Arial" w:eastAsia="Calibri" w:hAnsi="Arial" w:cs="Arial"/>
          <w:b/>
          <w:spacing w:val="-1"/>
          <w:sz w:val="17"/>
          <w:szCs w:val="17"/>
        </w:rPr>
      </w:pPr>
    </w:p>
    <w:p w:rsidR="006520E3" w:rsidRDefault="006520E3" w:rsidP="006520E3">
      <w:pPr>
        <w:pStyle w:val="Prrafodelista"/>
        <w:spacing w:before="80" w:line="250" w:lineRule="exact"/>
        <w:ind w:left="714"/>
        <w:contextualSpacing w:val="0"/>
        <w:jc w:val="both"/>
        <w:rPr>
          <w:rFonts w:ascii="Arial" w:eastAsia="Calibri" w:hAnsi="Arial" w:cs="Arial"/>
          <w:b/>
          <w:spacing w:val="-1"/>
          <w:sz w:val="17"/>
          <w:szCs w:val="17"/>
        </w:rPr>
      </w:pPr>
    </w:p>
    <w:p w:rsidR="006520E3" w:rsidRPr="008D52DF"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Derechos a recibir e</w:t>
      </w:r>
      <w:r>
        <w:rPr>
          <w:rFonts w:ascii="Arial" w:eastAsia="Calibri" w:hAnsi="Arial" w:cs="Arial"/>
          <w:b/>
          <w:spacing w:val="-1"/>
          <w:sz w:val="17"/>
          <w:szCs w:val="17"/>
        </w:rPr>
        <w:t>fectivo y</w:t>
      </w:r>
      <w:r w:rsidRPr="002D70DA">
        <w:rPr>
          <w:rFonts w:ascii="Arial" w:eastAsia="Calibri" w:hAnsi="Arial" w:cs="Arial"/>
          <w:b/>
          <w:spacing w:val="-1"/>
          <w:sz w:val="17"/>
          <w:szCs w:val="17"/>
        </w:rPr>
        <w:t xml:space="preserve"> equivalentes y bienes o servicios a recibir:</w:t>
      </w:r>
    </w:p>
    <w:p w:rsidR="006520E3" w:rsidRPr="00560276" w:rsidRDefault="006520E3" w:rsidP="006520E3">
      <w:pPr>
        <w:spacing w:before="80" w:line="250" w:lineRule="exact"/>
        <w:ind w:left="709"/>
        <w:jc w:val="both"/>
        <w:rPr>
          <w:rFonts w:ascii="Arial" w:eastAsia="Calibri" w:hAnsi="Arial" w:cs="Arial"/>
          <w:spacing w:val="-1"/>
          <w:sz w:val="17"/>
          <w:szCs w:val="17"/>
        </w:rPr>
      </w:pPr>
      <w:r w:rsidRPr="00560276">
        <w:rPr>
          <w:rFonts w:ascii="Arial" w:eastAsia="Calibri" w:hAnsi="Arial" w:cs="Arial"/>
          <w:spacing w:val="-1"/>
          <w:sz w:val="17"/>
          <w:szCs w:val="17"/>
        </w:rPr>
        <w:t xml:space="preserve">En este apartado se informa la integración del rubro </w:t>
      </w:r>
      <w:r>
        <w:rPr>
          <w:rFonts w:ascii="Arial" w:eastAsia="Calibri" w:hAnsi="Arial" w:cs="Arial"/>
          <w:spacing w:val="-1"/>
          <w:sz w:val="17"/>
          <w:szCs w:val="17"/>
        </w:rPr>
        <w:t>D</w:t>
      </w:r>
      <w:r w:rsidRPr="00560276">
        <w:rPr>
          <w:rFonts w:ascii="Arial" w:eastAsia="Calibri" w:hAnsi="Arial" w:cs="Arial"/>
          <w:spacing w:val="-1"/>
          <w:sz w:val="17"/>
          <w:szCs w:val="17"/>
        </w:rPr>
        <w:t xml:space="preserve">erechos a </w:t>
      </w:r>
      <w:r>
        <w:rPr>
          <w:rFonts w:ascii="Arial" w:eastAsia="Calibri" w:hAnsi="Arial" w:cs="Arial"/>
          <w:spacing w:val="-1"/>
          <w:sz w:val="17"/>
          <w:szCs w:val="17"/>
        </w:rPr>
        <w:t>R</w:t>
      </w:r>
      <w:r w:rsidRPr="00560276">
        <w:rPr>
          <w:rFonts w:ascii="Arial" w:eastAsia="Calibri" w:hAnsi="Arial" w:cs="Arial"/>
          <w:spacing w:val="-1"/>
          <w:sz w:val="17"/>
          <w:szCs w:val="17"/>
        </w:rPr>
        <w:t xml:space="preserve">ecibir </w:t>
      </w:r>
      <w:r>
        <w:rPr>
          <w:rFonts w:ascii="Arial" w:eastAsia="Calibri" w:hAnsi="Arial" w:cs="Arial"/>
          <w:spacing w:val="-1"/>
          <w:sz w:val="17"/>
          <w:szCs w:val="17"/>
        </w:rPr>
        <w:t>E</w:t>
      </w:r>
      <w:r w:rsidRPr="00560276">
        <w:rPr>
          <w:rFonts w:ascii="Arial" w:eastAsia="Calibri" w:hAnsi="Arial" w:cs="Arial"/>
          <w:spacing w:val="-1"/>
          <w:sz w:val="17"/>
          <w:szCs w:val="17"/>
        </w:rPr>
        <w:t xml:space="preserve">fectivo o </w:t>
      </w:r>
      <w:r>
        <w:rPr>
          <w:rFonts w:ascii="Arial" w:eastAsia="Calibri" w:hAnsi="Arial" w:cs="Arial"/>
          <w:spacing w:val="-1"/>
          <w:sz w:val="17"/>
          <w:szCs w:val="17"/>
        </w:rPr>
        <w:t>E</w:t>
      </w:r>
      <w:r w:rsidRPr="00560276">
        <w:rPr>
          <w:rFonts w:ascii="Arial" w:eastAsia="Calibri" w:hAnsi="Arial" w:cs="Arial"/>
          <w:spacing w:val="-1"/>
          <w:sz w:val="17"/>
          <w:szCs w:val="17"/>
        </w:rPr>
        <w:t>quivalentes del Poder Ejecutivo del Estado de Querétaro:</w:t>
      </w:r>
    </w:p>
    <w:p w:rsidR="006520E3" w:rsidRPr="00ED5AC6" w:rsidRDefault="006520E3" w:rsidP="006520E3">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74912" w:rsidRDefault="006520E3" w:rsidP="00137283">
            <w:pPr>
              <w:rPr>
                <w:rFonts w:ascii="Arial" w:hAnsi="Arial" w:cs="Arial"/>
                <w:sz w:val="17"/>
                <w:szCs w:val="17"/>
              </w:rPr>
            </w:pPr>
            <w:r w:rsidRPr="00274912">
              <w:rPr>
                <w:rFonts w:ascii="Arial" w:hAnsi="Arial" w:cs="Arial"/>
                <w:sz w:val="17"/>
                <w:szCs w:val="17"/>
              </w:rPr>
              <w:t>Inversiones Financieras de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74912" w:rsidRDefault="006520E3" w:rsidP="00137283">
            <w:pPr>
              <w:rPr>
                <w:rFonts w:ascii="Arial" w:hAnsi="Arial" w:cs="Arial"/>
                <w:sz w:val="17"/>
                <w:szCs w:val="17"/>
              </w:rPr>
            </w:pPr>
            <w:r w:rsidRPr="00274912">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8,913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6,911,681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74912" w:rsidRDefault="006520E3" w:rsidP="00137283">
            <w:pPr>
              <w:rPr>
                <w:rFonts w:ascii="Arial" w:hAnsi="Arial" w:cs="Arial"/>
                <w:sz w:val="17"/>
                <w:szCs w:val="17"/>
              </w:rPr>
            </w:pPr>
            <w:r w:rsidRPr="00274912">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1,693,290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7,554,168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5225F5" w:rsidRDefault="006520E3" w:rsidP="00137283">
            <w:pPr>
              <w:rPr>
                <w:rFonts w:ascii="Arial" w:hAnsi="Arial" w:cs="Arial"/>
                <w:sz w:val="17"/>
                <w:szCs w:val="17"/>
              </w:rPr>
            </w:pPr>
            <w:r w:rsidRPr="005225F5">
              <w:rPr>
                <w:rFonts w:ascii="Arial" w:hAnsi="Arial" w:cs="Arial"/>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5,337,471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3,904,262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5225F5" w:rsidRDefault="006520E3" w:rsidP="00137283">
            <w:pPr>
              <w:rPr>
                <w:rFonts w:ascii="Arial" w:hAnsi="Arial" w:cs="Arial"/>
                <w:sz w:val="17"/>
                <w:szCs w:val="17"/>
              </w:rPr>
            </w:pPr>
            <w:r w:rsidRPr="005225F5">
              <w:rPr>
                <w:rFonts w:ascii="Arial" w:hAnsi="Arial" w:cs="Arial"/>
                <w:sz w:val="17"/>
                <w:szCs w:val="17"/>
              </w:rPr>
              <w:t>Deudores por Anticipos de la Tesorería a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   </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5225F5" w:rsidRDefault="006520E3" w:rsidP="00137283">
            <w:pPr>
              <w:rPr>
                <w:rFonts w:ascii="Arial" w:hAnsi="Arial" w:cs="Arial"/>
                <w:sz w:val="17"/>
                <w:szCs w:val="17"/>
              </w:rPr>
            </w:pPr>
            <w:r w:rsidRPr="002737BC">
              <w:rPr>
                <w:rFonts w:ascii="Arial" w:hAnsi="Arial" w:cs="Arial"/>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   </w:t>
            </w:r>
          </w:p>
        </w:tc>
      </w:tr>
      <w:tr w:rsidR="006520E3" w:rsidRPr="002D70DA" w:rsidTr="00137283">
        <w:trPr>
          <w:trHeight w:val="240"/>
          <w:jc w:val="center"/>
        </w:trPr>
        <w:tc>
          <w:tcPr>
            <w:tcW w:w="4900" w:type="dxa"/>
            <w:tcBorders>
              <w:top w:val="nil"/>
              <w:left w:val="nil"/>
              <w:bottom w:val="nil"/>
              <w:right w:val="single" w:sz="4" w:space="0" w:color="auto"/>
            </w:tcBorders>
            <w:shd w:val="clear" w:color="000000" w:fill="FFFFFF"/>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hideMark/>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7,039,674 </w:t>
            </w:r>
          </w:p>
        </w:tc>
        <w:tc>
          <w:tcPr>
            <w:tcW w:w="2180" w:type="dxa"/>
            <w:tcBorders>
              <w:top w:val="nil"/>
              <w:left w:val="single" w:sz="4" w:space="0" w:color="auto"/>
              <w:bottom w:val="single" w:sz="4" w:space="0" w:color="auto"/>
              <w:right w:val="single" w:sz="4" w:space="0" w:color="auto"/>
            </w:tcBorders>
            <w:shd w:val="clear" w:color="000000" w:fill="FFFFFF"/>
            <w:hideMark/>
          </w:tcPr>
          <w:p w:rsidR="006520E3" w:rsidRPr="00211D53" w:rsidRDefault="006520E3" w:rsidP="00137283">
            <w:pPr>
              <w:jc w:val="right"/>
              <w:rPr>
                <w:rFonts w:ascii="Arial" w:hAnsi="Arial" w:cs="Arial"/>
                <w:sz w:val="17"/>
                <w:szCs w:val="17"/>
              </w:rPr>
            </w:pPr>
            <w:r w:rsidRPr="00941BEA">
              <w:rPr>
                <w:rFonts w:ascii="Arial" w:hAnsi="Arial" w:cs="Arial"/>
                <w:sz w:val="17"/>
                <w:szCs w:val="17"/>
              </w:rPr>
              <w:t xml:space="preserve"> 18,370,111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Pr="00FA4CD3" w:rsidRDefault="006520E3" w:rsidP="006520E3">
      <w:pPr>
        <w:spacing w:before="80" w:line="250" w:lineRule="exact"/>
        <w:ind w:left="709"/>
        <w:jc w:val="both"/>
        <w:rPr>
          <w:rFonts w:ascii="Arial" w:eastAsia="Calibri" w:hAnsi="Arial" w:cs="Arial"/>
          <w:spacing w:val="-1"/>
          <w:sz w:val="17"/>
          <w:szCs w:val="17"/>
        </w:rPr>
      </w:pPr>
      <w:r w:rsidRPr="00FA4CD3">
        <w:rPr>
          <w:rFonts w:ascii="Arial" w:eastAsia="Calibri" w:hAnsi="Arial" w:cs="Arial"/>
          <w:spacing w:val="-1"/>
          <w:sz w:val="17"/>
          <w:szCs w:val="17"/>
        </w:rPr>
        <w:t>El decremento en las Cuentas por Cobrar a Corto Plazo obedece principalmente a la depuración de la cuenta devengado pendiente de pago del Fondo de Aportaciones para la Nómina Educativa y el Gasto Operativo (FONE) y a las cuentas por cobrar del IMSS a organismos.</w:t>
      </w:r>
      <w:r w:rsidRPr="00FA4CD3">
        <w:t xml:space="preserve"> </w:t>
      </w:r>
    </w:p>
    <w:p w:rsidR="006520E3" w:rsidRPr="00FA4CD3" w:rsidRDefault="006520E3" w:rsidP="006520E3">
      <w:pPr>
        <w:spacing w:before="80" w:line="250" w:lineRule="exact"/>
        <w:ind w:left="709"/>
        <w:jc w:val="both"/>
        <w:rPr>
          <w:rFonts w:ascii="Arial" w:eastAsia="Calibri" w:hAnsi="Arial" w:cs="Arial"/>
          <w:spacing w:val="-1"/>
          <w:sz w:val="17"/>
          <w:szCs w:val="17"/>
        </w:rPr>
      </w:pPr>
      <w:r w:rsidRPr="00FA4CD3">
        <w:rPr>
          <w:rFonts w:ascii="Arial" w:eastAsia="Calibri" w:hAnsi="Arial" w:cs="Arial"/>
          <w:spacing w:val="-1"/>
          <w:sz w:val="17"/>
          <w:szCs w:val="17"/>
        </w:rPr>
        <w:t>El decremento en la cuenta de</w:t>
      </w:r>
      <w:r w:rsidRPr="00FA4CD3">
        <w:t xml:space="preserve"> </w:t>
      </w:r>
      <w:r w:rsidRPr="00FA4CD3">
        <w:rPr>
          <w:rFonts w:ascii="Arial" w:eastAsia="Calibri" w:hAnsi="Arial" w:cs="Arial"/>
          <w:spacing w:val="-1"/>
          <w:sz w:val="17"/>
          <w:szCs w:val="17"/>
        </w:rPr>
        <w:t>Deudores Diversos por Cobrar a Corto Plazo se debe principalmente al reconocimiento como gasto de cuentas por cobrar a organismos.</w:t>
      </w:r>
      <w:r w:rsidR="001D5B39">
        <w:rPr>
          <w:rFonts w:ascii="Arial" w:eastAsia="Calibri" w:hAnsi="Arial" w:cs="Arial"/>
          <w:spacing w:val="-1"/>
          <w:sz w:val="17"/>
          <w:szCs w:val="17"/>
        </w:rPr>
        <w:t xml:space="preserve"> Y el saldo que se presenta corresponde a fondos </w:t>
      </w:r>
      <w:proofErr w:type="spellStart"/>
      <w:r w:rsidR="001D5B39">
        <w:rPr>
          <w:rFonts w:ascii="Arial" w:eastAsia="Calibri" w:hAnsi="Arial" w:cs="Arial"/>
          <w:spacing w:val="-1"/>
          <w:sz w:val="17"/>
          <w:szCs w:val="17"/>
        </w:rPr>
        <w:t>revolventes</w:t>
      </w:r>
      <w:proofErr w:type="spellEnd"/>
      <w:r w:rsidR="001D5B39">
        <w:rPr>
          <w:rFonts w:ascii="Arial" w:eastAsia="Calibri" w:hAnsi="Arial" w:cs="Arial"/>
          <w:spacing w:val="-1"/>
          <w:sz w:val="17"/>
          <w:szCs w:val="17"/>
        </w:rPr>
        <w:t>.</w:t>
      </w:r>
    </w:p>
    <w:p w:rsidR="006520E3" w:rsidRPr="00FA4CD3" w:rsidRDefault="006520E3" w:rsidP="006520E3">
      <w:pPr>
        <w:spacing w:before="80" w:line="250" w:lineRule="exact"/>
        <w:ind w:left="709"/>
        <w:jc w:val="both"/>
        <w:rPr>
          <w:rFonts w:ascii="Arial" w:eastAsia="Calibri" w:hAnsi="Arial" w:cs="Arial"/>
          <w:spacing w:val="-1"/>
          <w:sz w:val="17"/>
          <w:szCs w:val="17"/>
        </w:rPr>
      </w:pPr>
      <w:r w:rsidRPr="00FA4CD3">
        <w:rPr>
          <w:rFonts w:ascii="Arial" w:eastAsia="Calibri" w:hAnsi="Arial" w:cs="Arial"/>
          <w:spacing w:val="-1"/>
          <w:sz w:val="17"/>
          <w:szCs w:val="17"/>
        </w:rPr>
        <w:lastRenderedPageBreak/>
        <w:t xml:space="preserve">El saldo que se presenta en la cuenta de Ingresos por Recuperar a Corto Plazo se deriva principalmente de líneas de captura del sistema RECAUDANET pendientes de aplicar. </w:t>
      </w:r>
    </w:p>
    <w:p w:rsidR="006520E3" w:rsidRPr="0050213B" w:rsidRDefault="006520E3" w:rsidP="006520E3">
      <w:pPr>
        <w:spacing w:before="80" w:line="250" w:lineRule="exact"/>
        <w:ind w:left="709"/>
        <w:jc w:val="both"/>
        <w:rPr>
          <w:rFonts w:ascii="Arial" w:eastAsia="Calibri" w:hAnsi="Arial" w:cs="Arial"/>
          <w:spacing w:val="-1"/>
          <w:sz w:val="17"/>
          <w:szCs w:val="17"/>
        </w:rPr>
      </w:pPr>
    </w:p>
    <w:p w:rsidR="006520E3" w:rsidRPr="002D70DA" w:rsidRDefault="006520E3" w:rsidP="006520E3">
      <w:pPr>
        <w:spacing w:before="80" w:line="250" w:lineRule="exact"/>
        <w:ind w:left="709"/>
        <w:jc w:val="both"/>
        <w:rPr>
          <w:rFonts w:ascii="Arial" w:eastAsia="Calibri" w:hAnsi="Arial" w:cs="Arial"/>
          <w:spacing w:val="-1"/>
          <w:sz w:val="17"/>
          <w:szCs w:val="17"/>
        </w:rPr>
      </w:pPr>
      <w:r w:rsidRPr="00C008E8">
        <w:rPr>
          <w:rFonts w:ascii="Arial" w:eastAsia="Calibri" w:hAnsi="Arial" w:cs="Arial"/>
          <w:spacing w:val="-1"/>
          <w:sz w:val="17"/>
          <w:szCs w:val="17"/>
        </w:rPr>
        <w:t xml:space="preserve">Dentro de la cuenta Ingresos por Recuperar a Corto Plazo se </w:t>
      </w:r>
      <w:r>
        <w:rPr>
          <w:rFonts w:ascii="Arial" w:eastAsia="Calibri" w:hAnsi="Arial" w:cs="Arial"/>
          <w:spacing w:val="-1"/>
          <w:sz w:val="17"/>
          <w:szCs w:val="17"/>
        </w:rPr>
        <w:t>integran</w:t>
      </w:r>
      <w:r w:rsidRPr="00C008E8">
        <w:rPr>
          <w:rFonts w:ascii="Arial" w:eastAsia="Calibri" w:hAnsi="Arial" w:cs="Arial"/>
          <w:spacing w:val="-1"/>
          <w:sz w:val="17"/>
          <w:szCs w:val="17"/>
        </w:rPr>
        <w:t xml:space="preserve"> los montos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C008E8">
        <w:rPr>
          <w:rFonts w:ascii="Arial" w:eastAsia="Calibri" w:hAnsi="Arial" w:cs="Arial"/>
          <w:spacing w:val="-1"/>
          <w:sz w:val="17"/>
          <w:szCs w:val="17"/>
        </w:rPr>
        <w:t xml:space="preserve"> que se encuentren pendientes de cobro y por recuperar de hasta cinco ejercicios anteriores. Asimismo, se informa los montos sujetos a algún tipo de juicio con una antigüedad mayor a cinco ejercicios anteriores y la factibilidad de cobro:</w:t>
      </w:r>
    </w:p>
    <w:p w:rsidR="006520E3" w:rsidRPr="002D70DA" w:rsidRDefault="006520E3" w:rsidP="006520E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72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Contribución pendiente de cobro y de recuperar hasta por cinco ejercicios: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8D73A5" w:rsidRDefault="006520E3" w:rsidP="00137283">
            <w:pPr>
              <w:jc w:val="center"/>
              <w:rPr>
                <w:rFonts w:ascii="Arial" w:hAnsi="Arial" w:cs="Arial"/>
                <w:b/>
                <w:bCs/>
                <w:color w:val="000000"/>
                <w:sz w:val="17"/>
                <w:szCs w:val="17"/>
              </w:rPr>
            </w:pPr>
            <w:r w:rsidRPr="008D73A5">
              <w:rPr>
                <w:rFonts w:ascii="Arial" w:hAnsi="Arial" w:cs="Arial"/>
                <w:b/>
                <w:bCs/>
                <w:color w:val="000000"/>
                <w:sz w:val="17"/>
                <w:szCs w:val="17"/>
              </w:rPr>
              <w:t>Factibilidad de cobro</w:t>
            </w:r>
          </w:p>
        </w:tc>
      </w:tr>
      <w:tr w:rsidR="006520E3" w:rsidRPr="002D70DA"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tcPr>
          <w:p w:rsidR="006520E3" w:rsidRPr="00C61AD4" w:rsidRDefault="006520E3" w:rsidP="00137283">
            <w:pPr>
              <w:ind w:left="67"/>
              <w:rPr>
                <w:rFonts w:ascii="Arial" w:hAnsi="Arial" w:cs="Arial"/>
                <w:color w:val="000000"/>
                <w:sz w:val="17"/>
                <w:szCs w:val="17"/>
              </w:rPr>
            </w:pPr>
            <w:r w:rsidRPr="00C61AD4">
              <w:rPr>
                <w:rFonts w:ascii="Arial" w:hAnsi="Arial" w:cs="Arial"/>
                <w:color w:val="000000"/>
                <w:sz w:val="17"/>
                <w:szCs w:val="17"/>
              </w:rPr>
              <w:t>Contribuciones pagadas con cheques sin fondos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highlight w:val="yellow"/>
              </w:rPr>
            </w:pPr>
            <w:r w:rsidRPr="007A5F59">
              <w:rPr>
                <w:rFonts w:ascii="Arial" w:hAnsi="Arial" w:cs="Arial"/>
                <w:color w:val="000000"/>
                <w:sz w:val="17"/>
                <w:szCs w:val="17"/>
              </w:rPr>
              <w:t>1,163,788</w:t>
            </w:r>
          </w:p>
        </w:tc>
        <w:tc>
          <w:tcPr>
            <w:tcW w:w="2180" w:type="dxa"/>
            <w:tcBorders>
              <w:top w:val="nil"/>
              <w:left w:val="nil"/>
              <w:bottom w:val="single" w:sz="4" w:space="0" w:color="auto"/>
              <w:right w:val="single" w:sz="4" w:space="0" w:color="auto"/>
            </w:tcBorders>
            <w:shd w:val="clear" w:color="auto" w:fill="auto"/>
            <w:vAlign w:val="center"/>
          </w:tcPr>
          <w:p w:rsidR="006520E3" w:rsidRPr="00126F00" w:rsidRDefault="006520E3" w:rsidP="00137283">
            <w:pPr>
              <w:jc w:val="center"/>
              <w:rPr>
                <w:rFonts w:ascii="Arial" w:hAnsi="Arial" w:cs="Arial"/>
                <w:bCs/>
                <w:color w:val="000000"/>
                <w:sz w:val="17"/>
                <w:szCs w:val="17"/>
              </w:rPr>
            </w:pPr>
            <w:r w:rsidRPr="00126F00">
              <w:rPr>
                <w:rFonts w:ascii="Arial" w:hAnsi="Arial" w:cs="Arial"/>
                <w:bCs/>
                <w:color w:val="000000"/>
                <w:sz w:val="17"/>
                <w:szCs w:val="17"/>
              </w:rPr>
              <w:t>70 por ciento</w:t>
            </w:r>
          </w:p>
        </w:tc>
      </w:tr>
      <w:tr w:rsidR="006520E3" w:rsidRPr="002D70DA"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tcPr>
          <w:p w:rsidR="006520E3" w:rsidRPr="00C61AD4" w:rsidRDefault="006520E3" w:rsidP="00137283">
            <w:pPr>
              <w:ind w:left="67"/>
              <w:rPr>
                <w:rFonts w:ascii="Arial" w:hAnsi="Arial" w:cs="Arial"/>
                <w:color w:val="000000"/>
                <w:sz w:val="17"/>
                <w:szCs w:val="17"/>
              </w:rPr>
            </w:pPr>
            <w:r w:rsidRPr="00C61AD4">
              <w:rPr>
                <w:rFonts w:ascii="Arial" w:hAnsi="Arial" w:cs="Arial"/>
                <w:color w:val="000000"/>
                <w:sz w:val="17"/>
                <w:szCs w:val="17"/>
              </w:rPr>
              <w:t>Contribuciones cobradas OXXO y sistema RECAUDANET</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highlight w:val="yellow"/>
              </w:rPr>
            </w:pPr>
            <w:r w:rsidRPr="007A5F59">
              <w:rPr>
                <w:rFonts w:ascii="Arial" w:hAnsi="Arial" w:cs="Arial"/>
                <w:color w:val="000000"/>
                <w:sz w:val="17"/>
                <w:szCs w:val="17"/>
              </w:rPr>
              <w:t>4,173,683</w:t>
            </w:r>
          </w:p>
        </w:tc>
        <w:tc>
          <w:tcPr>
            <w:tcW w:w="2180" w:type="dxa"/>
            <w:tcBorders>
              <w:top w:val="nil"/>
              <w:left w:val="nil"/>
              <w:bottom w:val="single" w:sz="4" w:space="0" w:color="auto"/>
              <w:right w:val="single" w:sz="4" w:space="0" w:color="auto"/>
            </w:tcBorders>
            <w:shd w:val="clear" w:color="auto" w:fill="auto"/>
            <w:vAlign w:val="center"/>
          </w:tcPr>
          <w:p w:rsidR="006520E3" w:rsidRPr="00126F00" w:rsidRDefault="006520E3" w:rsidP="00137283">
            <w:pPr>
              <w:jc w:val="center"/>
              <w:rPr>
                <w:rFonts w:ascii="Arial" w:hAnsi="Arial" w:cs="Arial"/>
                <w:bCs/>
                <w:color w:val="000000"/>
                <w:sz w:val="17"/>
                <w:szCs w:val="17"/>
              </w:rPr>
            </w:pPr>
            <w:r w:rsidRPr="00126F00">
              <w:rPr>
                <w:rFonts w:ascii="Arial" w:hAnsi="Arial" w:cs="Arial"/>
                <w:bCs/>
                <w:color w:val="000000"/>
                <w:sz w:val="17"/>
                <w:szCs w:val="17"/>
              </w:rPr>
              <w:t>100 por ciento</w:t>
            </w:r>
          </w:p>
        </w:tc>
      </w:tr>
      <w:tr w:rsidR="006520E3" w:rsidRPr="002D70DA" w:rsidTr="00137283">
        <w:trPr>
          <w:trHeight w:val="240"/>
          <w:jc w:val="center"/>
        </w:trPr>
        <w:tc>
          <w:tcPr>
            <w:tcW w:w="4900" w:type="dxa"/>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Total</w:t>
            </w:r>
          </w:p>
        </w:tc>
        <w:tc>
          <w:tcPr>
            <w:tcW w:w="2180" w:type="dxa"/>
            <w:tcBorders>
              <w:top w:val="nil"/>
              <w:left w:val="single" w:sz="4" w:space="0" w:color="auto"/>
              <w:bottom w:val="single" w:sz="4" w:space="0" w:color="auto"/>
              <w:right w:val="single" w:sz="4" w:space="0" w:color="auto"/>
            </w:tcBorders>
            <w:shd w:val="clear" w:color="000000" w:fill="FFFFFF"/>
            <w:hideMark/>
          </w:tcPr>
          <w:p w:rsidR="006520E3" w:rsidRPr="007A5F59" w:rsidRDefault="006520E3" w:rsidP="00137283">
            <w:pPr>
              <w:jc w:val="right"/>
              <w:rPr>
                <w:rFonts w:ascii="Arial" w:hAnsi="Arial" w:cs="Arial"/>
                <w:color w:val="000000"/>
                <w:sz w:val="17"/>
                <w:szCs w:val="17"/>
                <w:highlight w:val="yellow"/>
              </w:rPr>
            </w:pPr>
            <w:r w:rsidRPr="007A5F59">
              <w:rPr>
                <w:rFonts w:ascii="Arial" w:hAnsi="Arial" w:cs="Arial"/>
                <w:color w:val="000000"/>
                <w:sz w:val="17"/>
                <w:szCs w:val="17"/>
              </w:rPr>
              <w:t>5,337,471</w:t>
            </w:r>
          </w:p>
        </w:tc>
        <w:tc>
          <w:tcPr>
            <w:tcW w:w="2180" w:type="dxa"/>
            <w:tcBorders>
              <w:top w:val="nil"/>
              <w:left w:val="nil"/>
              <w:bottom w:val="nil"/>
              <w:right w:val="nil"/>
            </w:tcBorders>
            <w:shd w:val="clear" w:color="000000" w:fill="FFFFFF"/>
            <w:vAlign w:val="center"/>
            <w:hideMark/>
          </w:tcPr>
          <w:p w:rsidR="006520E3" w:rsidRPr="00126F00" w:rsidRDefault="006520E3" w:rsidP="00137283">
            <w:pPr>
              <w:jc w:val="both"/>
              <w:rPr>
                <w:rFonts w:ascii="Arial" w:hAnsi="Arial" w:cs="Arial"/>
                <w:color w:val="000000"/>
                <w:sz w:val="17"/>
                <w:szCs w:val="17"/>
              </w:rPr>
            </w:pPr>
            <w:r w:rsidRPr="00126F00">
              <w:rPr>
                <w:rFonts w:ascii="Arial" w:hAnsi="Arial" w:cs="Arial"/>
                <w:color w:val="000000"/>
                <w:sz w:val="17"/>
                <w:szCs w:val="17"/>
              </w:rPr>
              <w:t>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Derechos a recibir </w:t>
      </w:r>
      <w:r>
        <w:rPr>
          <w:rFonts w:ascii="Arial" w:eastAsia="Calibri" w:hAnsi="Arial" w:cs="Arial"/>
          <w:b/>
          <w:spacing w:val="-1"/>
          <w:sz w:val="17"/>
          <w:szCs w:val="17"/>
        </w:rPr>
        <w:t>bienes o servicios</w:t>
      </w:r>
      <w:r w:rsidRPr="002D70DA">
        <w:rPr>
          <w:rFonts w:ascii="Arial" w:eastAsia="Calibri" w:hAnsi="Arial" w:cs="Arial"/>
          <w:b/>
          <w:spacing w:val="-1"/>
          <w:sz w:val="17"/>
          <w:szCs w:val="17"/>
        </w:rPr>
        <w:t>:</w:t>
      </w:r>
    </w:p>
    <w:p w:rsidR="006520E3" w:rsidRPr="00560276" w:rsidRDefault="006520E3" w:rsidP="006520E3">
      <w:pPr>
        <w:spacing w:before="80" w:line="250" w:lineRule="exact"/>
        <w:ind w:left="709"/>
        <w:jc w:val="both"/>
        <w:rPr>
          <w:rFonts w:ascii="Arial" w:eastAsia="Calibri" w:hAnsi="Arial" w:cs="Arial"/>
          <w:spacing w:val="-1"/>
          <w:sz w:val="17"/>
          <w:szCs w:val="17"/>
        </w:rPr>
      </w:pPr>
      <w:r w:rsidRPr="00560276">
        <w:rPr>
          <w:rFonts w:ascii="Arial" w:eastAsia="Calibri" w:hAnsi="Arial" w:cs="Arial"/>
          <w:spacing w:val="-1"/>
          <w:sz w:val="17"/>
          <w:szCs w:val="17"/>
        </w:rPr>
        <w:t xml:space="preserve">En este apartado se informa la integración del rubro </w:t>
      </w:r>
      <w:r w:rsidRPr="004C6A70">
        <w:rPr>
          <w:rFonts w:ascii="Arial" w:eastAsia="Calibri" w:hAnsi="Arial" w:cs="Arial"/>
          <w:spacing w:val="-1"/>
          <w:sz w:val="17"/>
          <w:szCs w:val="17"/>
        </w:rPr>
        <w:t>Derechos a recibir bienes o servicios</w:t>
      </w:r>
      <w:r w:rsidRPr="00560276">
        <w:rPr>
          <w:rFonts w:ascii="Arial" w:eastAsia="Calibri" w:hAnsi="Arial" w:cs="Arial"/>
          <w:spacing w:val="-1"/>
          <w:sz w:val="17"/>
          <w:szCs w:val="17"/>
        </w:rPr>
        <w:t xml:space="preserve"> del Poder Ejecutivo del Estado de Querétaro:</w:t>
      </w:r>
    </w:p>
    <w:p w:rsidR="006520E3" w:rsidRPr="00ED5AC6" w:rsidRDefault="006520E3" w:rsidP="006520E3">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560276" w:rsidRDefault="006520E3" w:rsidP="00137283">
            <w:pPr>
              <w:rPr>
                <w:rFonts w:ascii="Arial" w:hAnsi="Arial" w:cs="Arial"/>
                <w:sz w:val="17"/>
                <w:szCs w:val="17"/>
              </w:rPr>
            </w:pPr>
            <w:r w:rsidRPr="004C6A70">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147,737,922 </w:t>
            </w:r>
          </w:p>
        </w:tc>
        <w:tc>
          <w:tcPr>
            <w:tcW w:w="2180"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332,016,740 </w:t>
            </w:r>
          </w:p>
        </w:tc>
      </w:tr>
    </w:tbl>
    <w:p w:rsidR="006520E3" w:rsidRDefault="006520E3" w:rsidP="006520E3">
      <w:pPr>
        <w:spacing w:before="80" w:line="250" w:lineRule="exact"/>
        <w:ind w:left="709"/>
        <w:jc w:val="both"/>
        <w:rPr>
          <w:rFonts w:ascii="Arial" w:eastAsia="Calibri" w:hAnsi="Arial" w:cs="Arial"/>
          <w:spacing w:val="-1"/>
          <w:sz w:val="17"/>
          <w:szCs w:val="17"/>
          <w:highlight w:val="yellow"/>
        </w:rPr>
      </w:pPr>
    </w:p>
    <w:p w:rsidR="006520E3" w:rsidRPr="00B06897" w:rsidRDefault="006520E3" w:rsidP="006520E3">
      <w:pPr>
        <w:spacing w:before="80" w:line="250" w:lineRule="exact"/>
        <w:ind w:firstLine="709"/>
        <w:jc w:val="both"/>
        <w:rPr>
          <w:rFonts w:ascii="Arial" w:eastAsia="Calibri" w:hAnsi="Arial" w:cs="Arial"/>
          <w:spacing w:val="-1"/>
          <w:sz w:val="17"/>
          <w:szCs w:val="17"/>
        </w:rPr>
      </w:pPr>
      <w:r w:rsidRPr="007A5F59">
        <w:rPr>
          <w:rFonts w:ascii="Arial" w:eastAsia="Calibri" w:hAnsi="Arial" w:cs="Arial"/>
          <w:spacing w:val="-1"/>
          <w:sz w:val="17"/>
          <w:szCs w:val="17"/>
        </w:rPr>
        <w:t xml:space="preserve">El decremento obedece a la depuración de cuentas por cobrar a contratistas por obra pública </w:t>
      </w:r>
      <w:r>
        <w:rPr>
          <w:rFonts w:ascii="Arial" w:eastAsia="Calibri" w:hAnsi="Arial" w:cs="Arial"/>
          <w:spacing w:val="-1"/>
          <w:sz w:val="17"/>
          <w:szCs w:val="17"/>
        </w:rPr>
        <w:t>solicitada</w:t>
      </w:r>
      <w:r w:rsidRPr="007A5F59">
        <w:rPr>
          <w:rFonts w:ascii="Arial" w:eastAsia="Calibri" w:hAnsi="Arial" w:cs="Arial"/>
          <w:spacing w:val="-1"/>
          <w:sz w:val="17"/>
          <w:szCs w:val="17"/>
        </w:rPr>
        <w:t xml:space="preserve"> por la Dirección de Gasto Social.</w:t>
      </w: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lastRenderedPageBreak/>
        <w:t>Bienes disponibles para su transformación o consumo (Inventarios)</w:t>
      </w:r>
    </w:p>
    <w:p w:rsidR="006520E3"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clasifican como bienes disponibles para su transformación, aquellos que se encuentran dentro de la cuenta de inventarios. En esta not</w:t>
      </w:r>
      <w:r>
        <w:rPr>
          <w:rFonts w:ascii="Arial" w:eastAsia="Calibri" w:hAnsi="Arial" w:cs="Arial"/>
          <w:spacing w:val="-1"/>
          <w:sz w:val="17"/>
          <w:szCs w:val="17"/>
        </w:rPr>
        <w:t xml:space="preserve">a, se informa el saldo de la cuenta de inventarios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Los inventarios y almacenes se encuentran valuados a su costo de adquisición atendiendo a lo que señalan las Principales Reglas de Registro y Valoración del Patrimonio (Elementos Generales) emitidos por el Consejo Nacional de Armonización Contable.</w:t>
      </w:r>
    </w:p>
    <w:p w:rsidR="006520E3" w:rsidRPr="00ED5AC6" w:rsidRDefault="006520E3" w:rsidP="006520E3">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560276" w:rsidRDefault="006520E3" w:rsidP="00137283">
            <w:pPr>
              <w:rPr>
                <w:rFonts w:ascii="Arial" w:hAnsi="Arial" w:cs="Arial"/>
                <w:sz w:val="17"/>
                <w:szCs w:val="17"/>
              </w:rPr>
            </w:pPr>
            <w:r w:rsidRPr="00547241">
              <w:rPr>
                <w:rFonts w:ascii="Arial" w:hAnsi="Arial" w:cs="Arial"/>
                <w:sz w:val="17"/>
                <w:szCs w:val="17"/>
              </w:rPr>
              <w:t>Inventario de Materias Primas, Materiales y Suministros para Producción</w:t>
            </w:r>
          </w:p>
        </w:tc>
        <w:tc>
          <w:tcPr>
            <w:tcW w:w="2180" w:type="dxa"/>
            <w:tcBorders>
              <w:top w:val="single" w:sz="4" w:space="0" w:color="auto"/>
              <w:left w:val="nil"/>
              <w:bottom w:val="single" w:sz="4" w:space="0" w:color="auto"/>
              <w:right w:val="single" w:sz="4" w:space="0" w:color="auto"/>
            </w:tcBorders>
            <w:shd w:val="clear" w:color="auto" w:fill="auto"/>
          </w:tcPr>
          <w:p w:rsidR="006520E3" w:rsidRPr="00FD6822" w:rsidRDefault="006520E3" w:rsidP="00137283">
            <w:pPr>
              <w:jc w:val="right"/>
              <w:rPr>
                <w:rFonts w:ascii="Arial" w:hAnsi="Arial" w:cs="Arial"/>
                <w:color w:val="000000"/>
                <w:sz w:val="16"/>
                <w:szCs w:val="16"/>
              </w:rPr>
            </w:pPr>
            <w:r w:rsidRPr="00941BEA">
              <w:rPr>
                <w:rFonts w:ascii="Arial" w:hAnsi="Arial" w:cs="Arial"/>
                <w:color w:val="000000"/>
                <w:sz w:val="16"/>
                <w:szCs w:val="16"/>
              </w:rPr>
              <w:t xml:space="preserve"> 107,121 </w:t>
            </w:r>
          </w:p>
        </w:tc>
        <w:tc>
          <w:tcPr>
            <w:tcW w:w="2180" w:type="dxa"/>
            <w:tcBorders>
              <w:top w:val="single" w:sz="4" w:space="0" w:color="auto"/>
              <w:left w:val="nil"/>
              <w:bottom w:val="single" w:sz="4" w:space="0" w:color="auto"/>
              <w:right w:val="single" w:sz="4" w:space="0" w:color="auto"/>
            </w:tcBorders>
            <w:shd w:val="clear" w:color="auto" w:fill="auto"/>
          </w:tcPr>
          <w:p w:rsidR="006520E3" w:rsidRPr="00FD6822" w:rsidRDefault="006520E3" w:rsidP="00137283">
            <w:pPr>
              <w:jc w:val="right"/>
              <w:rPr>
                <w:rFonts w:ascii="Arial" w:hAnsi="Arial" w:cs="Arial"/>
                <w:color w:val="000000"/>
                <w:sz w:val="16"/>
                <w:szCs w:val="16"/>
              </w:rPr>
            </w:pPr>
            <w:r w:rsidRPr="00941BEA">
              <w:rPr>
                <w:rFonts w:ascii="Arial" w:hAnsi="Arial" w:cs="Arial"/>
                <w:color w:val="000000"/>
                <w:sz w:val="16"/>
                <w:szCs w:val="16"/>
              </w:rPr>
              <w:t xml:space="preserve"> 235,477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Pr="00ED5AC6" w:rsidRDefault="006520E3" w:rsidP="006520E3">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560276" w:rsidRDefault="006520E3" w:rsidP="00137283">
            <w:pPr>
              <w:rPr>
                <w:rFonts w:ascii="Arial" w:hAnsi="Arial" w:cs="Arial"/>
                <w:sz w:val="17"/>
                <w:szCs w:val="17"/>
              </w:rPr>
            </w:pPr>
            <w:r w:rsidRPr="003F4545">
              <w:rPr>
                <w:rFonts w:ascii="Arial" w:hAnsi="Arial" w:cs="Arial"/>
                <w:sz w:val="17"/>
                <w:szCs w:val="17"/>
              </w:rPr>
              <w:t>Almacén de Materiales y Suministros de Consumo</w:t>
            </w:r>
          </w:p>
        </w:tc>
        <w:tc>
          <w:tcPr>
            <w:tcW w:w="2180" w:type="dxa"/>
            <w:tcBorders>
              <w:top w:val="single" w:sz="4" w:space="0" w:color="auto"/>
              <w:left w:val="nil"/>
              <w:bottom w:val="single" w:sz="4" w:space="0" w:color="auto"/>
              <w:right w:val="single" w:sz="4" w:space="0" w:color="auto"/>
            </w:tcBorders>
            <w:shd w:val="clear" w:color="auto" w:fill="auto"/>
          </w:tcPr>
          <w:p w:rsidR="006520E3" w:rsidRPr="00FD6822" w:rsidRDefault="006520E3" w:rsidP="00137283">
            <w:pPr>
              <w:jc w:val="right"/>
              <w:rPr>
                <w:rFonts w:ascii="Arial" w:hAnsi="Arial" w:cs="Arial"/>
                <w:color w:val="000000"/>
                <w:sz w:val="16"/>
                <w:szCs w:val="16"/>
              </w:rPr>
            </w:pPr>
            <w:r w:rsidRPr="00941BEA">
              <w:rPr>
                <w:rFonts w:ascii="Arial" w:hAnsi="Arial" w:cs="Arial"/>
                <w:color w:val="000000"/>
                <w:sz w:val="16"/>
                <w:szCs w:val="16"/>
              </w:rPr>
              <w:t xml:space="preserve"> 4,791,563 </w:t>
            </w:r>
          </w:p>
        </w:tc>
        <w:tc>
          <w:tcPr>
            <w:tcW w:w="2180" w:type="dxa"/>
            <w:tcBorders>
              <w:top w:val="single" w:sz="4" w:space="0" w:color="auto"/>
              <w:left w:val="nil"/>
              <w:bottom w:val="single" w:sz="4" w:space="0" w:color="auto"/>
              <w:right w:val="single" w:sz="4" w:space="0" w:color="auto"/>
            </w:tcBorders>
            <w:shd w:val="clear" w:color="auto" w:fill="auto"/>
          </w:tcPr>
          <w:p w:rsidR="006520E3" w:rsidRPr="00FD6822" w:rsidRDefault="006520E3" w:rsidP="00137283">
            <w:pPr>
              <w:jc w:val="right"/>
              <w:rPr>
                <w:rFonts w:ascii="Arial" w:hAnsi="Arial" w:cs="Arial"/>
                <w:color w:val="000000"/>
                <w:sz w:val="16"/>
                <w:szCs w:val="16"/>
              </w:rPr>
            </w:pPr>
            <w:r w:rsidRPr="00941BEA">
              <w:rPr>
                <w:rFonts w:ascii="Arial" w:hAnsi="Arial" w:cs="Arial"/>
                <w:color w:val="000000"/>
                <w:sz w:val="16"/>
                <w:szCs w:val="16"/>
              </w:rPr>
              <w:t xml:space="preserve"> 4,694,823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Pr="00B7425F" w:rsidRDefault="006520E3" w:rsidP="006520E3">
      <w:pPr>
        <w:spacing w:before="80" w:line="250" w:lineRule="exact"/>
        <w:ind w:left="709"/>
        <w:jc w:val="both"/>
        <w:rPr>
          <w:rFonts w:ascii="Arial" w:eastAsia="Calibri" w:hAnsi="Arial" w:cs="Arial"/>
          <w:spacing w:val="-1"/>
          <w:sz w:val="17"/>
          <w:szCs w:val="17"/>
        </w:rPr>
      </w:pPr>
      <w:r w:rsidRPr="007A5F59">
        <w:rPr>
          <w:rFonts w:ascii="Arial" w:eastAsia="Calibri" w:hAnsi="Arial" w:cs="Arial"/>
          <w:spacing w:val="-1"/>
          <w:sz w:val="17"/>
          <w:szCs w:val="17"/>
        </w:rPr>
        <w:t xml:space="preserve">El incremento se registra esencialmente en los almacenes de conservación y reparación de edificios por un importe </w:t>
      </w:r>
      <w:r w:rsidRPr="00987ED5">
        <w:rPr>
          <w:rFonts w:ascii="Arial" w:eastAsia="Calibri" w:hAnsi="Arial" w:cs="Arial"/>
          <w:spacing w:val="-1"/>
          <w:sz w:val="17"/>
          <w:szCs w:val="17"/>
        </w:rPr>
        <w:t>de 92,938.</w:t>
      </w:r>
    </w:p>
    <w:p w:rsidR="006520E3" w:rsidRDefault="006520E3" w:rsidP="006520E3">
      <w:pPr>
        <w:spacing w:before="80" w:line="250" w:lineRule="exact"/>
        <w:ind w:left="709"/>
        <w:jc w:val="both"/>
        <w:rPr>
          <w:rFonts w:ascii="Arial" w:eastAsia="Calibri" w:hAnsi="Arial" w:cs="Arial"/>
          <w:spacing w:val="-1"/>
          <w:sz w:val="17"/>
          <w:szCs w:val="17"/>
        </w:rPr>
      </w:pPr>
    </w:p>
    <w:p w:rsidR="006520E3" w:rsidRPr="002D70DA" w:rsidRDefault="006520E3" w:rsidP="006520E3">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E50619">
        <w:rPr>
          <w:rFonts w:ascii="Arial" w:eastAsia="Calibri" w:hAnsi="Arial" w:cs="Arial"/>
          <w:b/>
          <w:spacing w:val="-1"/>
          <w:sz w:val="17"/>
          <w:szCs w:val="17"/>
        </w:rPr>
        <w:t>Estimación por Pérdida o Deterioro de Activos Circulantes</w:t>
      </w:r>
      <w:r>
        <w:rPr>
          <w:rFonts w:ascii="Arial" w:eastAsia="Calibri" w:hAnsi="Arial" w:cs="Arial"/>
          <w:b/>
          <w:spacing w:val="-1"/>
          <w:sz w:val="17"/>
          <w:szCs w:val="17"/>
        </w:rPr>
        <w:t xml:space="preserve"> y </w:t>
      </w:r>
      <w:r w:rsidRPr="00E50619">
        <w:rPr>
          <w:rFonts w:ascii="Arial" w:eastAsia="Calibri" w:hAnsi="Arial" w:cs="Arial"/>
          <w:b/>
          <w:spacing w:val="-1"/>
          <w:sz w:val="17"/>
          <w:szCs w:val="17"/>
        </w:rPr>
        <w:t>Otros Activos Circulantes</w:t>
      </w: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En estos rubros no existe movimiento en sus respectivas cuentas.</w:t>
      </w:r>
    </w:p>
    <w:p w:rsidR="006520E3" w:rsidRPr="002D70DA" w:rsidRDefault="006520E3" w:rsidP="006520E3">
      <w:pPr>
        <w:spacing w:before="80" w:line="250" w:lineRule="exact"/>
        <w:ind w:left="709"/>
        <w:jc w:val="both"/>
        <w:rPr>
          <w:rFonts w:ascii="Arial" w:eastAsia="Calibri" w:hAnsi="Arial" w:cs="Arial"/>
          <w:spacing w:val="-1"/>
          <w:sz w:val="17"/>
          <w:szCs w:val="17"/>
        </w:rPr>
      </w:pP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Inversiones Financieras</w:t>
      </w:r>
    </w:p>
    <w:p w:rsidR="006520E3" w:rsidRPr="00785016" w:rsidRDefault="006520E3" w:rsidP="006520E3">
      <w:pPr>
        <w:spacing w:before="80" w:line="250" w:lineRule="exact"/>
        <w:ind w:left="709"/>
        <w:jc w:val="both"/>
        <w:rPr>
          <w:rFonts w:ascii="Arial" w:eastAsia="Calibri" w:hAnsi="Arial" w:cs="Arial"/>
          <w:spacing w:val="-1"/>
          <w:sz w:val="17"/>
          <w:szCs w:val="17"/>
        </w:rPr>
      </w:pPr>
      <w:r w:rsidRPr="00785016">
        <w:rPr>
          <w:rFonts w:ascii="Arial" w:eastAsia="Calibri" w:hAnsi="Arial" w:cs="Arial"/>
          <w:spacing w:val="-1"/>
          <w:sz w:val="17"/>
          <w:szCs w:val="17"/>
        </w:rPr>
        <w:t>En este aparta</w:t>
      </w:r>
      <w:r>
        <w:rPr>
          <w:rFonts w:ascii="Arial" w:eastAsia="Calibri" w:hAnsi="Arial" w:cs="Arial"/>
          <w:spacing w:val="-1"/>
          <w:sz w:val="17"/>
          <w:szCs w:val="17"/>
        </w:rPr>
        <w:t>do se informa la integración de</w:t>
      </w:r>
      <w:r w:rsidRPr="00785016">
        <w:rPr>
          <w:rFonts w:ascii="Arial" w:eastAsia="Calibri" w:hAnsi="Arial" w:cs="Arial"/>
          <w:spacing w:val="-1"/>
          <w:sz w:val="17"/>
          <w:szCs w:val="17"/>
        </w:rPr>
        <w:t xml:space="preserve"> </w:t>
      </w:r>
      <w:r>
        <w:rPr>
          <w:rFonts w:ascii="Arial" w:eastAsia="Calibri" w:hAnsi="Arial" w:cs="Arial"/>
          <w:spacing w:val="-1"/>
          <w:sz w:val="17"/>
          <w:szCs w:val="17"/>
        </w:rPr>
        <w:t xml:space="preserve">Inversiones Financieras a Largo Plazo </w:t>
      </w:r>
      <w:r w:rsidRPr="00785016">
        <w:rPr>
          <w:rFonts w:ascii="Arial" w:eastAsia="Calibri" w:hAnsi="Arial" w:cs="Arial"/>
          <w:spacing w:val="-1"/>
          <w:sz w:val="17"/>
          <w:szCs w:val="17"/>
        </w:rPr>
        <w:t>del Poder Ejecutivo del Estado de Querétaro:</w:t>
      </w:r>
    </w:p>
    <w:p w:rsidR="006520E3" w:rsidRPr="00785016"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AE6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AE6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2D7556" w:rsidRDefault="006520E3" w:rsidP="00137283">
            <w:pPr>
              <w:rPr>
                <w:rFonts w:ascii="Arial" w:hAnsi="Arial" w:cs="Arial"/>
                <w:sz w:val="17"/>
                <w:szCs w:val="17"/>
              </w:rPr>
            </w:pPr>
            <w:r w:rsidRPr="002D7556">
              <w:rPr>
                <w:rFonts w:ascii="Arial" w:hAnsi="Arial" w:cs="Arial"/>
                <w:sz w:val="17"/>
                <w:szCs w:val="17"/>
              </w:rPr>
              <w:t>Fideicomisos, Mandatos y Contratos Análogos</w:t>
            </w:r>
          </w:p>
        </w:tc>
        <w:tc>
          <w:tcPr>
            <w:tcW w:w="2180"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6"/>
                <w:szCs w:val="16"/>
              </w:rPr>
            </w:pPr>
            <w:r w:rsidRPr="00941BEA">
              <w:rPr>
                <w:rFonts w:ascii="Arial" w:hAnsi="Arial" w:cs="Arial"/>
                <w:color w:val="000000"/>
                <w:sz w:val="16"/>
                <w:szCs w:val="16"/>
              </w:rPr>
              <w:t xml:space="preserve"> 190,408,858 </w:t>
            </w:r>
          </w:p>
        </w:tc>
        <w:tc>
          <w:tcPr>
            <w:tcW w:w="2180"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6"/>
                <w:szCs w:val="16"/>
              </w:rPr>
            </w:pPr>
            <w:r w:rsidRPr="00941BEA">
              <w:rPr>
                <w:rFonts w:ascii="Arial" w:hAnsi="Arial" w:cs="Arial"/>
                <w:color w:val="000000"/>
                <w:sz w:val="16"/>
                <w:szCs w:val="16"/>
              </w:rPr>
              <w:t xml:space="preserve"> 71,436,727 </w:t>
            </w:r>
          </w:p>
        </w:tc>
      </w:tr>
      <w:tr w:rsidR="00AE63AF" w:rsidRPr="002D70DA" w:rsidTr="00AE63A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E63AF" w:rsidRPr="002D7556" w:rsidRDefault="00AE63AF" w:rsidP="00AE63AF">
            <w:pPr>
              <w:rPr>
                <w:rFonts w:ascii="Arial" w:hAnsi="Arial" w:cs="Arial"/>
                <w:sz w:val="17"/>
                <w:szCs w:val="17"/>
              </w:rPr>
            </w:pPr>
            <w:r w:rsidRPr="002D7556">
              <w:rPr>
                <w:rFonts w:ascii="Arial" w:hAnsi="Arial" w:cs="Arial"/>
                <w:sz w:val="17"/>
                <w:szCs w:val="17"/>
              </w:rPr>
              <w:t>Participaciones y Aportaciones de Capital</w:t>
            </w:r>
          </w:p>
        </w:tc>
        <w:tc>
          <w:tcPr>
            <w:tcW w:w="2180" w:type="dxa"/>
            <w:tcBorders>
              <w:top w:val="single" w:sz="4" w:space="0" w:color="auto"/>
              <w:left w:val="nil"/>
              <w:bottom w:val="single" w:sz="4" w:space="0" w:color="auto"/>
              <w:right w:val="single" w:sz="4" w:space="0" w:color="auto"/>
            </w:tcBorders>
            <w:shd w:val="clear" w:color="auto" w:fill="auto"/>
          </w:tcPr>
          <w:p w:rsidR="00AE63AF" w:rsidRPr="00AE63AF" w:rsidRDefault="00AE63AF" w:rsidP="00AE63AF">
            <w:pPr>
              <w:jc w:val="right"/>
              <w:rPr>
                <w:rFonts w:ascii="Arial" w:hAnsi="Arial" w:cs="Arial"/>
                <w:color w:val="000000"/>
                <w:sz w:val="16"/>
                <w:szCs w:val="16"/>
              </w:rPr>
            </w:pPr>
            <w:r w:rsidRPr="00AE63AF">
              <w:rPr>
                <w:rFonts w:ascii="Arial" w:hAnsi="Arial" w:cs="Arial"/>
                <w:color w:val="000000"/>
                <w:sz w:val="16"/>
                <w:szCs w:val="16"/>
              </w:rPr>
              <w:t xml:space="preserve"> 25,308,243,319 </w:t>
            </w:r>
          </w:p>
        </w:tc>
        <w:tc>
          <w:tcPr>
            <w:tcW w:w="2180" w:type="dxa"/>
            <w:tcBorders>
              <w:top w:val="single" w:sz="4" w:space="0" w:color="auto"/>
              <w:left w:val="nil"/>
              <w:bottom w:val="single" w:sz="4" w:space="0" w:color="auto"/>
              <w:right w:val="single" w:sz="4" w:space="0" w:color="auto"/>
            </w:tcBorders>
            <w:shd w:val="clear" w:color="auto" w:fill="auto"/>
          </w:tcPr>
          <w:p w:rsidR="00AE63AF" w:rsidRPr="002737BC" w:rsidRDefault="00AE63AF" w:rsidP="00AE63AF">
            <w:pPr>
              <w:jc w:val="right"/>
              <w:rPr>
                <w:rFonts w:ascii="Arial" w:hAnsi="Arial" w:cs="Arial"/>
                <w:color w:val="000000"/>
                <w:sz w:val="16"/>
                <w:szCs w:val="16"/>
              </w:rPr>
            </w:pPr>
            <w:r w:rsidRPr="00941BEA">
              <w:rPr>
                <w:rFonts w:ascii="Arial" w:hAnsi="Arial" w:cs="Arial"/>
                <w:color w:val="000000"/>
                <w:sz w:val="16"/>
                <w:szCs w:val="16"/>
              </w:rPr>
              <w:t xml:space="preserve"> 24,127,464,116 </w:t>
            </w:r>
          </w:p>
        </w:tc>
      </w:tr>
      <w:tr w:rsidR="00AE63AF" w:rsidRPr="002D70DA" w:rsidTr="00AE63AF">
        <w:trPr>
          <w:trHeight w:val="240"/>
          <w:jc w:val="center"/>
        </w:trPr>
        <w:tc>
          <w:tcPr>
            <w:tcW w:w="4900" w:type="dxa"/>
            <w:tcBorders>
              <w:top w:val="nil"/>
              <w:left w:val="nil"/>
              <w:bottom w:val="nil"/>
              <w:right w:val="single" w:sz="4" w:space="0" w:color="auto"/>
            </w:tcBorders>
            <w:shd w:val="clear" w:color="000000" w:fill="FFFFFF"/>
            <w:vAlign w:val="center"/>
            <w:hideMark/>
          </w:tcPr>
          <w:p w:rsidR="00AE63AF" w:rsidRPr="002D7556" w:rsidRDefault="00AE63AF" w:rsidP="00AE63AF">
            <w:pPr>
              <w:jc w:val="center"/>
              <w:rPr>
                <w:rFonts w:ascii="Arial" w:hAnsi="Arial" w:cs="Arial"/>
                <w:b/>
                <w:bCs/>
                <w:color w:val="000000"/>
                <w:sz w:val="17"/>
                <w:szCs w:val="17"/>
              </w:rPr>
            </w:pPr>
            <w:r w:rsidRPr="002D7556">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000000" w:fill="FFFFFF"/>
            <w:hideMark/>
          </w:tcPr>
          <w:p w:rsidR="00AE63AF" w:rsidRPr="00AE63AF" w:rsidRDefault="00AE63AF" w:rsidP="00AE63AF">
            <w:pPr>
              <w:jc w:val="right"/>
              <w:rPr>
                <w:rFonts w:ascii="Arial" w:hAnsi="Arial" w:cs="Arial"/>
                <w:color w:val="000000"/>
                <w:sz w:val="16"/>
                <w:szCs w:val="16"/>
              </w:rPr>
            </w:pPr>
            <w:r w:rsidRPr="00AE63AF">
              <w:rPr>
                <w:rFonts w:ascii="Arial" w:hAnsi="Arial" w:cs="Arial"/>
                <w:color w:val="000000"/>
                <w:sz w:val="16"/>
                <w:szCs w:val="16"/>
              </w:rPr>
              <w:t xml:space="preserve"> 25,498,652,177 </w:t>
            </w:r>
          </w:p>
        </w:tc>
        <w:tc>
          <w:tcPr>
            <w:tcW w:w="2180" w:type="dxa"/>
            <w:tcBorders>
              <w:top w:val="nil"/>
              <w:left w:val="single" w:sz="4" w:space="0" w:color="auto"/>
              <w:bottom w:val="single" w:sz="4" w:space="0" w:color="auto"/>
              <w:right w:val="single" w:sz="4" w:space="0" w:color="auto"/>
            </w:tcBorders>
            <w:shd w:val="clear" w:color="000000" w:fill="FFFFFF"/>
            <w:hideMark/>
          </w:tcPr>
          <w:p w:rsidR="00AE63AF" w:rsidRPr="002737BC" w:rsidRDefault="00AE63AF" w:rsidP="00AE63AF">
            <w:pPr>
              <w:jc w:val="right"/>
              <w:rPr>
                <w:rFonts w:ascii="Arial" w:hAnsi="Arial" w:cs="Arial"/>
                <w:color w:val="000000"/>
                <w:sz w:val="16"/>
                <w:szCs w:val="16"/>
              </w:rPr>
            </w:pPr>
            <w:r w:rsidRPr="00941BEA">
              <w:rPr>
                <w:rFonts w:ascii="Arial" w:hAnsi="Arial" w:cs="Arial"/>
                <w:color w:val="000000"/>
                <w:sz w:val="16"/>
                <w:szCs w:val="16"/>
              </w:rPr>
              <w:t xml:space="preserve"> 24,198,900,843 </w:t>
            </w:r>
          </w:p>
        </w:tc>
      </w:tr>
    </w:tbl>
    <w:p w:rsidR="006520E3" w:rsidRDefault="006520E3" w:rsidP="006520E3">
      <w:pPr>
        <w:spacing w:before="13" w:line="250" w:lineRule="exact"/>
        <w:ind w:left="709"/>
        <w:jc w:val="both"/>
        <w:rPr>
          <w:rFonts w:ascii="Arial" w:eastAsia="Calibri" w:hAnsi="Arial" w:cs="Arial"/>
          <w:spacing w:val="-1"/>
          <w:sz w:val="17"/>
          <w:szCs w:val="17"/>
        </w:rPr>
      </w:pPr>
    </w:p>
    <w:p w:rsidR="006520E3" w:rsidRPr="007A5F59" w:rsidRDefault="006520E3" w:rsidP="006520E3">
      <w:pPr>
        <w:spacing w:before="13" w:line="250" w:lineRule="exact"/>
        <w:ind w:left="709"/>
        <w:jc w:val="both"/>
        <w:rPr>
          <w:rFonts w:ascii="Arial" w:eastAsia="Calibri" w:hAnsi="Arial" w:cs="Arial"/>
          <w:spacing w:val="-1"/>
          <w:sz w:val="17"/>
          <w:szCs w:val="17"/>
        </w:rPr>
      </w:pPr>
      <w:r w:rsidRPr="007A5F59">
        <w:rPr>
          <w:rFonts w:ascii="Arial" w:eastAsia="Calibri" w:hAnsi="Arial" w:cs="Arial"/>
          <w:spacing w:val="-1"/>
          <w:sz w:val="17"/>
          <w:szCs w:val="17"/>
        </w:rPr>
        <w:t>El saldo que se presenta en Fideicomisos, Mandatos</w:t>
      </w:r>
      <w:r w:rsidR="00896BC1">
        <w:rPr>
          <w:rFonts w:ascii="Arial" w:eastAsia="Calibri" w:hAnsi="Arial" w:cs="Arial"/>
          <w:spacing w:val="-1"/>
          <w:sz w:val="17"/>
          <w:szCs w:val="17"/>
        </w:rPr>
        <w:t xml:space="preserve"> y Contratos Análogos atiende </w:t>
      </w:r>
      <w:r w:rsidRPr="007A5F59">
        <w:rPr>
          <w:rFonts w:ascii="Arial" w:eastAsia="Calibri" w:hAnsi="Arial" w:cs="Arial"/>
          <w:spacing w:val="-1"/>
          <w:sz w:val="17"/>
          <w:szCs w:val="17"/>
        </w:rPr>
        <w:t>al reconocimiento en cuentas de Activo de los Fideicomisos en los cuales el Poder Ejecutivo es Fideicomitente.</w:t>
      </w:r>
    </w:p>
    <w:p w:rsidR="006520E3" w:rsidRDefault="006520E3" w:rsidP="006520E3">
      <w:pPr>
        <w:spacing w:before="80" w:line="250" w:lineRule="exact"/>
        <w:ind w:left="709"/>
        <w:jc w:val="both"/>
        <w:rPr>
          <w:rFonts w:ascii="Arial" w:eastAsia="Calibri" w:hAnsi="Arial" w:cs="Arial"/>
          <w:spacing w:val="-1"/>
          <w:sz w:val="17"/>
          <w:szCs w:val="17"/>
        </w:rPr>
      </w:pPr>
      <w:r w:rsidRPr="00941B09">
        <w:rPr>
          <w:rFonts w:ascii="Arial" w:eastAsia="Calibri" w:hAnsi="Arial" w:cs="Arial"/>
          <w:spacing w:val="-1"/>
          <w:sz w:val="17"/>
          <w:szCs w:val="17"/>
        </w:rPr>
        <w:t xml:space="preserve">El aumento en Participaciones y Aportaciones de Capital obedece principalmente </w:t>
      </w:r>
      <w:r w:rsidR="00941B09">
        <w:rPr>
          <w:rFonts w:ascii="Arial" w:eastAsia="Calibri" w:hAnsi="Arial" w:cs="Arial"/>
          <w:spacing w:val="-1"/>
          <w:sz w:val="17"/>
          <w:szCs w:val="17"/>
        </w:rPr>
        <w:t>a la actualización</w:t>
      </w:r>
      <w:r w:rsidRPr="00941B09">
        <w:rPr>
          <w:rFonts w:ascii="Arial" w:eastAsia="Calibri" w:hAnsi="Arial" w:cs="Arial"/>
          <w:spacing w:val="-1"/>
          <w:sz w:val="17"/>
          <w:szCs w:val="17"/>
        </w:rPr>
        <w:t xml:space="preserve"> de la Participación del Poder Ejecutivo en el Patrimonio de las Entidades Paraestatales.</w:t>
      </w:r>
    </w:p>
    <w:p w:rsidR="00515775" w:rsidRDefault="00515775" w:rsidP="006520E3">
      <w:pPr>
        <w:spacing w:before="80" w:line="250" w:lineRule="exact"/>
        <w:ind w:left="709"/>
        <w:jc w:val="both"/>
        <w:rPr>
          <w:rFonts w:ascii="Arial" w:eastAsia="Calibri" w:hAnsi="Arial" w:cs="Arial"/>
          <w:spacing w:val="-1"/>
          <w:sz w:val="17"/>
          <w:szCs w:val="17"/>
        </w:rPr>
      </w:pPr>
    </w:p>
    <w:p w:rsidR="006520E3" w:rsidRPr="002D70DA"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De la </w:t>
      </w:r>
      <w:r>
        <w:rPr>
          <w:rFonts w:ascii="Arial" w:eastAsia="Calibri" w:hAnsi="Arial" w:cs="Arial"/>
          <w:spacing w:val="-1"/>
          <w:sz w:val="17"/>
          <w:szCs w:val="17"/>
        </w:rPr>
        <w:t xml:space="preserve">cuenta </w:t>
      </w:r>
      <w:r w:rsidRPr="00465149">
        <w:rPr>
          <w:rFonts w:ascii="Arial" w:eastAsia="Calibri" w:hAnsi="Arial" w:cs="Arial"/>
          <w:spacing w:val="-1"/>
          <w:sz w:val="17"/>
          <w:szCs w:val="17"/>
        </w:rPr>
        <w:t>Fideicomisos, Mandatos y Contratos Análogos</w:t>
      </w:r>
      <w:r w:rsidRPr="00C61AD4">
        <w:rPr>
          <w:rFonts w:ascii="Arial" w:eastAsia="Calibri" w:hAnsi="Arial" w:cs="Arial"/>
          <w:spacing w:val="-1"/>
          <w:sz w:val="17"/>
          <w:szCs w:val="17"/>
        </w:rPr>
        <w:t>, se informa de éstos el monto</w:t>
      </w:r>
      <w:r w:rsidRPr="002D70DA">
        <w:rPr>
          <w:rFonts w:ascii="Arial" w:eastAsia="Calibri" w:hAnsi="Arial" w:cs="Arial"/>
          <w:spacing w:val="-1"/>
          <w:sz w:val="17"/>
          <w:szCs w:val="17"/>
        </w:rPr>
        <w:t xml:space="preserve">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w:t>
      </w:r>
    </w:p>
    <w:p w:rsidR="006520E3" w:rsidRPr="002D70DA" w:rsidRDefault="006520E3" w:rsidP="006520E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0" w:type="auto"/>
        <w:jc w:val="center"/>
        <w:tblCellMar>
          <w:left w:w="70" w:type="dxa"/>
          <w:right w:w="70" w:type="dxa"/>
        </w:tblCellMar>
        <w:tblLook w:val="04A0" w:firstRow="1" w:lastRow="0" w:firstColumn="1" w:lastColumn="0" w:noHBand="0" w:noVBand="1"/>
      </w:tblPr>
      <w:tblGrid>
        <w:gridCol w:w="7048"/>
        <w:gridCol w:w="1133"/>
      </w:tblGrid>
      <w:tr w:rsidR="006520E3" w:rsidRPr="002D70DA" w:rsidTr="00137283">
        <w:trPr>
          <w:trHeight w:val="386"/>
          <w:jc w:val="center"/>
        </w:trPr>
        <w:tc>
          <w:tcPr>
            <w:tcW w:w="0" w:type="auto"/>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853DCA" w:rsidRDefault="006520E3" w:rsidP="00137283">
            <w:pPr>
              <w:jc w:val="center"/>
              <w:rPr>
                <w:rFonts w:ascii="Arial" w:hAnsi="Arial" w:cs="Arial"/>
                <w:b/>
                <w:bCs/>
                <w:color w:val="000000"/>
                <w:sz w:val="17"/>
                <w:szCs w:val="17"/>
              </w:rPr>
            </w:pPr>
            <w:r w:rsidRPr="00853DCA">
              <w:rPr>
                <w:rFonts w:ascii="Arial" w:hAnsi="Arial" w:cs="Arial"/>
                <w:b/>
                <w:bCs/>
                <w:color w:val="000000"/>
                <w:sz w:val="17"/>
                <w:szCs w:val="17"/>
              </w:rPr>
              <w:t>Fideicomiso</w:t>
            </w:r>
          </w:p>
        </w:tc>
        <w:tc>
          <w:tcPr>
            <w:tcW w:w="0" w:type="auto"/>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6520E3" w:rsidRPr="00C61AD4"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C61AD4" w:rsidRDefault="006520E3" w:rsidP="00137283">
            <w:pPr>
              <w:rPr>
                <w:rFonts w:ascii="Arial" w:hAnsi="Arial" w:cs="Arial"/>
                <w:sz w:val="17"/>
                <w:szCs w:val="17"/>
              </w:rPr>
            </w:pPr>
            <w:r w:rsidRPr="00C61AD4">
              <w:rPr>
                <w:rFonts w:ascii="Arial" w:hAnsi="Arial" w:cs="Arial"/>
                <w:sz w:val="17"/>
                <w:szCs w:val="17"/>
              </w:rPr>
              <w:t>Fondo Metropolitano Ciudad de Querétaro</w:t>
            </w:r>
          </w:p>
        </w:tc>
        <w:tc>
          <w:tcPr>
            <w:tcW w:w="0" w:type="auto"/>
            <w:tcBorders>
              <w:top w:val="single" w:sz="4" w:space="0" w:color="auto"/>
              <w:left w:val="nil"/>
              <w:bottom w:val="single" w:sz="4" w:space="0" w:color="auto"/>
              <w:right w:val="single" w:sz="4" w:space="0" w:color="auto"/>
            </w:tcBorders>
            <w:shd w:val="clear" w:color="auto" w:fill="auto"/>
          </w:tcPr>
          <w:p w:rsidR="006520E3" w:rsidRPr="00C61AD4" w:rsidRDefault="006520E3" w:rsidP="00137283">
            <w:pPr>
              <w:jc w:val="right"/>
              <w:rPr>
                <w:rFonts w:ascii="Arial" w:hAnsi="Arial" w:cs="Arial"/>
                <w:sz w:val="17"/>
                <w:szCs w:val="17"/>
              </w:rPr>
            </w:pPr>
            <w:r w:rsidRPr="00C61AD4">
              <w:rPr>
                <w:rFonts w:ascii="Arial" w:hAnsi="Arial" w:cs="Arial"/>
                <w:sz w:val="17"/>
                <w:szCs w:val="17"/>
              </w:rPr>
              <w:t xml:space="preserve">36,204  </w:t>
            </w:r>
          </w:p>
        </w:tc>
      </w:tr>
      <w:tr w:rsidR="006520E3" w:rsidRPr="00C61AD4"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C61AD4" w:rsidRDefault="006520E3" w:rsidP="00137283">
            <w:pPr>
              <w:rPr>
                <w:rFonts w:ascii="Arial" w:hAnsi="Arial" w:cs="Arial"/>
                <w:sz w:val="17"/>
                <w:szCs w:val="17"/>
              </w:rPr>
            </w:pPr>
            <w:r w:rsidRPr="00C61AD4">
              <w:rPr>
                <w:rFonts w:ascii="Arial" w:hAnsi="Arial" w:cs="Arial"/>
                <w:sz w:val="17"/>
                <w:szCs w:val="17"/>
              </w:rPr>
              <w:t>Fondo de Fomento Agropecuario del Estado de Querétaro (FOFAE)</w:t>
            </w:r>
          </w:p>
        </w:tc>
        <w:tc>
          <w:tcPr>
            <w:tcW w:w="0" w:type="auto"/>
            <w:tcBorders>
              <w:top w:val="single" w:sz="4" w:space="0" w:color="auto"/>
              <w:left w:val="nil"/>
              <w:bottom w:val="single" w:sz="4" w:space="0" w:color="auto"/>
              <w:right w:val="single" w:sz="4" w:space="0" w:color="auto"/>
            </w:tcBorders>
            <w:shd w:val="clear" w:color="auto" w:fill="auto"/>
          </w:tcPr>
          <w:p w:rsidR="006520E3" w:rsidRPr="00C61AD4" w:rsidRDefault="006520E3" w:rsidP="00137283">
            <w:pPr>
              <w:jc w:val="right"/>
              <w:rPr>
                <w:rFonts w:ascii="Arial" w:hAnsi="Arial" w:cs="Arial"/>
                <w:sz w:val="17"/>
                <w:szCs w:val="17"/>
              </w:rPr>
            </w:pPr>
            <w:r w:rsidRPr="00C61AD4">
              <w:rPr>
                <w:rFonts w:ascii="Arial" w:hAnsi="Arial" w:cs="Arial"/>
                <w:sz w:val="17"/>
                <w:szCs w:val="17"/>
              </w:rPr>
              <w:t>165,127,549</w:t>
            </w:r>
          </w:p>
        </w:tc>
      </w:tr>
      <w:tr w:rsidR="006520E3" w:rsidRPr="00C61AD4"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C61AD4" w:rsidRDefault="006520E3" w:rsidP="00137283">
            <w:pPr>
              <w:rPr>
                <w:rFonts w:ascii="Arial" w:hAnsi="Arial" w:cs="Arial"/>
                <w:sz w:val="17"/>
                <w:szCs w:val="17"/>
              </w:rPr>
            </w:pPr>
            <w:r w:rsidRPr="00C61AD4">
              <w:rPr>
                <w:rFonts w:ascii="Arial" w:hAnsi="Arial" w:cs="Arial"/>
                <w:sz w:val="17"/>
                <w:szCs w:val="17"/>
              </w:rPr>
              <w:t>Fideicomiso Promotor de Turismo en el Estado de Querétaro (FIPROTUR)</w:t>
            </w:r>
          </w:p>
        </w:tc>
        <w:tc>
          <w:tcPr>
            <w:tcW w:w="0" w:type="auto"/>
            <w:tcBorders>
              <w:top w:val="single" w:sz="4" w:space="0" w:color="auto"/>
              <w:left w:val="nil"/>
              <w:bottom w:val="single" w:sz="4" w:space="0" w:color="auto"/>
              <w:right w:val="single" w:sz="4" w:space="0" w:color="auto"/>
            </w:tcBorders>
            <w:shd w:val="clear" w:color="auto" w:fill="auto"/>
          </w:tcPr>
          <w:p w:rsidR="006520E3" w:rsidRPr="00C61AD4" w:rsidRDefault="006520E3" w:rsidP="00137283">
            <w:pPr>
              <w:jc w:val="right"/>
              <w:rPr>
                <w:rFonts w:ascii="Arial" w:hAnsi="Arial" w:cs="Arial"/>
                <w:sz w:val="17"/>
                <w:szCs w:val="17"/>
              </w:rPr>
            </w:pPr>
            <w:r w:rsidRPr="00C61AD4">
              <w:rPr>
                <w:rFonts w:ascii="Arial" w:hAnsi="Arial" w:cs="Arial"/>
                <w:sz w:val="17"/>
                <w:szCs w:val="17"/>
              </w:rPr>
              <w:t>7,323,906</w:t>
            </w:r>
          </w:p>
        </w:tc>
      </w:tr>
      <w:tr w:rsidR="006520E3" w:rsidRPr="00916918"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916918" w:rsidRDefault="006520E3" w:rsidP="00137283">
            <w:pPr>
              <w:rPr>
                <w:rFonts w:ascii="Arial" w:hAnsi="Arial" w:cs="Arial"/>
                <w:sz w:val="17"/>
                <w:szCs w:val="17"/>
              </w:rPr>
            </w:pPr>
            <w:r w:rsidRPr="00916918">
              <w:rPr>
                <w:rFonts w:ascii="Arial" w:hAnsi="Arial" w:cs="Arial"/>
                <w:sz w:val="17"/>
                <w:szCs w:val="17"/>
              </w:rPr>
              <w:t>Fideicomiso Ciudad Industrial Benito Juárez (FIDEQRO)</w:t>
            </w:r>
          </w:p>
        </w:tc>
        <w:tc>
          <w:tcPr>
            <w:tcW w:w="0" w:type="auto"/>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highlight w:val="yellow"/>
              </w:rPr>
            </w:pPr>
            <w:r w:rsidRPr="007A5F59">
              <w:rPr>
                <w:rFonts w:ascii="Arial" w:hAnsi="Arial" w:cs="Arial"/>
                <w:sz w:val="17"/>
                <w:szCs w:val="17"/>
              </w:rPr>
              <w:t xml:space="preserve">534,500 </w:t>
            </w:r>
            <w:r w:rsidRPr="00941BEA">
              <w:rPr>
                <w:rFonts w:ascii="Arial" w:hAnsi="Arial" w:cs="Arial"/>
                <w:sz w:val="17"/>
                <w:szCs w:val="17"/>
                <w:highlight w:val="yellow"/>
              </w:rPr>
              <w:t xml:space="preserve"> </w:t>
            </w:r>
          </w:p>
        </w:tc>
      </w:tr>
      <w:tr w:rsidR="006520E3" w:rsidRPr="00916918"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916918" w:rsidRDefault="006520E3" w:rsidP="00137283">
            <w:pPr>
              <w:rPr>
                <w:rFonts w:ascii="Arial" w:hAnsi="Arial" w:cs="Arial"/>
                <w:sz w:val="17"/>
                <w:szCs w:val="17"/>
              </w:rPr>
            </w:pPr>
            <w:r w:rsidRPr="00916918">
              <w:rPr>
                <w:rFonts w:ascii="Arial" w:hAnsi="Arial" w:cs="Arial"/>
                <w:sz w:val="17"/>
                <w:szCs w:val="17"/>
              </w:rPr>
              <w:t>Fideicomiso Irrevocable de Inversión, Administración y Garantía (FIRE2000)</w:t>
            </w:r>
          </w:p>
        </w:tc>
        <w:tc>
          <w:tcPr>
            <w:tcW w:w="0" w:type="auto"/>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highlight w:val="yellow"/>
              </w:rPr>
            </w:pPr>
            <w:r w:rsidRPr="00AB3986">
              <w:rPr>
                <w:rFonts w:ascii="Arial" w:hAnsi="Arial" w:cs="Arial"/>
                <w:sz w:val="17"/>
                <w:szCs w:val="17"/>
              </w:rPr>
              <w:t xml:space="preserve"> 485,451 </w:t>
            </w:r>
          </w:p>
        </w:tc>
      </w:tr>
      <w:tr w:rsidR="006520E3" w:rsidRPr="00916918"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916918" w:rsidRDefault="006520E3" w:rsidP="00137283">
            <w:pPr>
              <w:rPr>
                <w:rFonts w:ascii="Arial" w:hAnsi="Arial" w:cs="Arial"/>
                <w:sz w:val="17"/>
                <w:szCs w:val="17"/>
              </w:rPr>
            </w:pPr>
            <w:r w:rsidRPr="00916918">
              <w:rPr>
                <w:rFonts w:ascii="Arial" w:hAnsi="Arial" w:cs="Arial"/>
                <w:sz w:val="17"/>
                <w:szCs w:val="17"/>
              </w:rPr>
              <w:t>Fideicomiso Fondo de Diversificación Productiva en la Sierra Gorda</w:t>
            </w:r>
          </w:p>
        </w:tc>
        <w:tc>
          <w:tcPr>
            <w:tcW w:w="0" w:type="auto"/>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highlight w:val="yellow"/>
              </w:rPr>
            </w:pPr>
            <w:r w:rsidRPr="00AB3986">
              <w:rPr>
                <w:rFonts w:ascii="Arial" w:hAnsi="Arial" w:cs="Arial"/>
                <w:sz w:val="17"/>
                <w:szCs w:val="17"/>
              </w:rPr>
              <w:t>1,175,722</w:t>
            </w:r>
          </w:p>
        </w:tc>
      </w:tr>
      <w:tr w:rsidR="006520E3" w:rsidRPr="00916918" w:rsidTr="00137283">
        <w:trPr>
          <w:trHeight w:val="2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520E3" w:rsidRPr="00916918" w:rsidRDefault="006520E3" w:rsidP="00137283">
            <w:pPr>
              <w:rPr>
                <w:rFonts w:ascii="Arial" w:hAnsi="Arial" w:cs="Arial"/>
                <w:sz w:val="17"/>
                <w:szCs w:val="17"/>
              </w:rPr>
            </w:pPr>
            <w:r w:rsidRPr="00916918">
              <w:rPr>
                <w:rFonts w:ascii="Arial" w:hAnsi="Arial" w:cs="Arial"/>
                <w:sz w:val="17"/>
                <w:szCs w:val="17"/>
              </w:rPr>
              <w:t>Fideicomiso de Garantía para Proyectos Productivos del Estado de Querétaro (FIGAPPEQ)</w:t>
            </w:r>
          </w:p>
        </w:tc>
        <w:tc>
          <w:tcPr>
            <w:tcW w:w="0" w:type="auto"/>
            <w:tcBorders>
              <w:top w:val="single" w:sz="4" w:space="0" w:color="auto"/>
              <w:left w:val="nil"/>
              <w:bottom w:val="single" w:sz="4" w:space="0" w:color="auto"/>
              <w:right w:val="single" w:sz="4" w:space="0" w:color="auto"/>
            </w:tcBorders>
            <w:shd w:val="clear" w:color="auto" w:fill="auto"/>
          </w:tcPr>
          <w:p w:rsidR="006520E3" w:rsidRPr="00AB3986" w:rsidRDefault="006520E3" w:rsidP="00137283">
            <w:pPr>
              <w:jc w:val="right"/>
              <w:rPr>
                <w:rFonts w:ascii="Arial" w:hAnsi="Arial" w:cs="Arial"/>
                <w:sz w:val="17"/>
                <w:szCs w:val="17"/>
              </w:rPr>
            </w:pPr>
            <w:r w:rsidRPr="00AB3986">
              <w:rPr>
                <w:rFonts w:ascii="Arial" w:hAnsi="Arial" w:cs="Arial"/>
                <w:sz w:val="17"/>
                <w:szCs w:val="17"/>
              </w:rPr>
              <w:t>15,725,527</w:t>
            </w:r>
          </w:p>
        </w:tc>
      </w:tr>
      <w:tr w:rsidR="006520E3" w:rsidRPr="005E1968" w:rsidTr="00137283">
        <w:trPr>
          <w:trHeight w:val="240"/>
          <w:jc w:val="center"/>
        </w:trPr>
        <w:tc>
          <w:tcPr>
            <w:tcW w:w="0" w:type="auto"/>
            <w:tcBorders>
              <w:top w:val="nil"/>
              <w:left w:val="nil"/>
              <w:bottom w:val="nil"/>
              <w:right w:val="nil"/>
            </w:tcBorders>
            <w:shd w:val="clear" w:color="000000" w:fill="FFFFFF"/>
            <w:vAlign w:val="center"/>
            <w:hideMark/>
          </w:tcPr>
          <w:p w:rsidR="006520E3" w:rsidRPr="00916918" w:rsidRDefault="006520E3" w:rsidP="00137283">
            <w:pPr>
              <w:jc w:val="center"/>
              <w:rPr>
                <w:rFonts w:ascii="Arial" w:hAnsi="Arial" w:cs="Arial"/>
                <w:b/>
                <w:color w:val="000000"/>
                <w:sz w:val="17"/>
                <w:szCs w:val="17"/>
              </w:rPr>
            </w:pPr>
            <w:r w:rsidRPr="00916918">
              <w:rPr>
                <w:rFonts w:ascii="Arial" w:hAnsi="Arial" w:cs="Arial"/>
                <w:b/>
                <w:color w:val="000000"/>
                <w:sz w:val="17"/>
                <w:szCs w:val="17"/>
              </w:rPr>
              <w:t>Total</w:t>
            </w:r>
          </w:p>
        </w:tc>
        <w:tc>
          <w:tcPr>
            <w:tcW w:w="0" w:type="auto"/>
            <w:tcBorders>
              <w:top w:val="nil"/>
              <w:left w:val="single" w:sz="4" w:space="0" w:color="auto"/>
              <w:bottom w:val="single" w:sz="4" w:space="0" w:color="auto"/>
              <w:right w:val="single" w:sz="4" w:space="0" w:color="auto"/>
            </w:tcBorders>
            <w:shd w:val="clear" w:color="000000" w:fill="FFFFFF"/>
            <w:hideMark/>
          </w:tcPr>
          <w:p w:rsidR="006520E3" w:rsidRPr="00AB3986" w:rsidRDefault="006520E3" w:rsidP="00137283">
            <w:pPr>
              <w:jc w:val="right"/>
              <w:rPr>
                <w:rFonts w:ascii="Arial" w:hAnsi="Arial" w:cs="Arial"/>
                <w:sz w:val="17"/>
                <w:szCs w:val="17"/>
              </w:rPr>
            </w:pPr>
            <w:r w:rsidRPr="00AB3986">
              <w:rPr>
                <w:rFonts w:ascii="Arial" w:hAnsi="Arial" w:cs="Arial"/>
                <w:sz w:val="17"/>
                <w:szCs w:val="17"/>
              </w:rPr>
              <w:t xml:space="preserve"> </w:t>
            </w:r>
            <w:r w:rsidRPr="007A5F59">
              <w:rPr>
                <w:rFonts w:ascii="Arial" w:hAnsi="Arial" w:cs="Arial"/>
                <w:sz w:val="17"/>
                <w:szCs w:val="17"/>
              </w:rPr>
              <w:t>190,408,858</w:t>
            </w:r>
          </w:p>
        </w:tc>
      </w:tr>
    </w:tbl>
    <w:p w:rsidR="006520E3" w:rsidRDefault="006520E3" w:rsidP="006520E3">
      <w:pPr>
        <w:rPr>
          <w:rFonts w:ascii="Arial" w:eastAsia="Calibri" w:hAnsi="Arial" w:cs="Arial"/>
          <w:spacing w:val="-1"/>
          <w:sz w:val="17"/>
          <w:szCs w:val="17"/>
        </w:rPr>
      </w:pPr>
    </w:p>
    <w:p w:rsidR="006520E3" w:rsidRPr="002D70DA"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Pr>
          <w:rFonts w:ascii="Arial" w:eastAsia="Calibri" w:hAnsi="Arial" w:cs="Arial"/>
          <w:spacing w:val="-1"/>
          <w:sz w:val="17"/>
          <w:szCs w:val="17"/>
        </w:rPr>
        <w:t xml:space="preserve">la integración del saldo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 xml:space="preserve"> de la</w:t>
      </w:r>
      <w:r>
        <w:rPr>
          <w:rFonts w:ascii="Arial" w:eastAsia="Calibri" w:hAnsi="Arial" w:cs="Arial"/>
          <w:spacing w:val="-1"/>
          <w:sz w:val="17"/>
          <w:szCs w:val="17"/>
        </w:rPr>
        <w:t xml:space="preserve"> cuenta P</w:t>
      </w:r>
      <w:r w:rsidRPr="002D70DA">
        <w:rPr>
          <w:rFonts w:ascii="Arial" w:eastAsia="Calibri" w:hAnsi="Arial" w:cs="Arial"/>
          <w:spacing w:val="-1"/>
          <w:sz w:val="17"/>
          <w:szCs w:val="17"/>
        </w:rPr>
        <w:t xml:space="preserve">articipaciones y </w:t>
      </w:r>
      <w:r>
        <w:rPr>
          <w:rFonts w:ascii="Arial" w:eastAsia="Calibri" w:hAnsi="Arial" w:cs="Arial"/>
          <w:spacing w:val="-1"/>
          <w:sz w:val="17"/>
          <w:szCs w:val="17"/>
        </w:rPr>
        <w:t>A</w:t>
      </w:r>
      <w:r w:rsidRPr="002D70DA">
        <w:rPr>
          <w:rFonts w:ascii="Arial" w:eastAsia="Calibri" w:hAnsi="Arial" w:cs="Arial"/>
          <w:spacing w:val="-1"/>
          <w:sz w:val="17"/>
          <w:szCs w:val="17"/>
        </w:rPr>
        <w:t xml:space="preserve">portaciones de </w:t>
      </w:r>
      <w:r>
        <w:rPr>
          <w:rFonts w:ascii="Arial" w:eastAsia="Calibri" w:hAnsi="Arial" w:cs="Arial"/>
          <w:spacing w:val="-1"/>
          <w:sz w:val="17"/>
          <w:szCs w:val="17"/>
        </w:rPr>
        <w:t>C</w:t>
      </w:r>
      <w:r w:rsidRPr="002D70DA">
        <w:rPr>
          <w:rFonts w:ascii="Arial" w:eastAsia="Calibri" w:hAnsi="Arial" w:cs="Arial"/>
          <w:spacing w:val="-1"/>
          <w:sz w:val="17"/>
          <w:szCs w:val="17"/>
        </w:rPr>
        <w:t>apital:</w:t>
      </w:r>
    </w:p>
    <w:p w:rsidR="006520E3" w:rsidRPr="002D70DA" w:rsidRDefault="006520E3" w:rsidP="006520E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5949" w:type="dxa"/>
        <w:jc w:val="center"/>
        <w:tblCellMar>
          <w:left w:w="70" w:type="dxa"/>
          <w:right w:w="70" w:type="dxa"/>
        </w:tblCellMar>
        <w:tblLook w:val="04A0" w:firstRow="1" w:lastRow="0" w:firstColumn="1" w:lastColumn="0" w:noHBand="0" w:noVBand="1"/>
      </w:tblPr>
      <w:tblGrid>
        <w:gridCol w:w="4390"/>
        <w:gridCol w:w="1559"/>
      </w:tblGrid>
      <w:tr w:rsidR="006520E3" w:rsidRPr="002D70DA" w:rsidTr="00137283">
        <w:trPr>
          <w:trHeight w:val="240"/>
          <w:jc w:val="center"/>
        </w:trPr>
        <w:tc>
          <w:tcPr>
            <w:tcW w:w="439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Concepto</w:t>
            </w:r>
          </w:p>
        </w:tc>
        <w:tc>
          <w:tcPr>
            <w:tcW w:w="1559"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Monto</w:t>
            </w:r>
          </w:p>
        </w:tc>
      </w:tr>
      <w:tr w:rsidR="006520E3" w:rsidRPr="00ED40C3" w:rsidTr="00137283">
        <w:trPr>
          <w:trHeight w:val="133"/>
          <w:jc w:val="center"/>
        </w:trPr>
        <w:tc>
          <w:tcPr>
            <w:tcW w:w="4390" w:type="dxa"/>
            <w:tcBorders>
              <w:top w:val="nil"/>
              <w:left w:val="single" w:sz="4" w:space="0" w:color="auto"/>
              <w:bottom w:val="single" w:sz="4" w:space="0" w:color="auto"/>
              <w:right w:val="single" w:sz="4" w:space="0" w:color="auto"/>
            </w:tcBorders>
            <w:shd w:val="clear" w:color="auto" w:fill="auto"/>
            <w:hideMark/>
          </w:tcPr>
          <w:p w:rsidR="006520E3" w:rsidRPr="00ED40C3" w:rsidRDefault="006520E3" w:rsidP="00137283">
            <w:pPr>
              <w:rPr>
                <w:rFonts w:ascii="Arial" w:hAnsi="Arial" w:cs="Arial"/>
                <w:sz w:val="17"/>
                <w:szCs w:val="17"/>
              </w:rPr>
            </w:pPr>
            <w:r w:rsidRPr="00ED40C3">
              <w:rPr>
                <w:rFonts w:ascii="Arial" w:hAnsi="Arial" w:cs="Arial"/>
                <w:sz w:val="17"/>
                <w:szCs w:val="17"/>
              </w:rPr>
              <w:t>Centro Sur, S.A. de C.V.</w:t>
            </w:r>
          </w:p>
        </w:tc>
        <w:tc>
          <w:tcPr>
            <w:tcW w:w="1559" w:type="dxa"/>
            <w:tcBorders>
              <w:top w:val="nil"/>
              <w:left w:val="nil"/>
              <w:bottom w:val="single" w:sz="4" w:space="0" w:color="auto"/>
              <w:right w:val="single" w:sz="4" w:space="0" w:color="auto"/>
            </w:tcBorders>
            <w:shd w:val="clear" w:color="auto" w:fill="auto"/>
            <w:hideMark/>
          </w:tcPr>
          <w:p w:rsidR="006520E3" w:rsidRPr="00ED40C3" w:rsidRDefault="006520E3" w:rsidP="00137283">
            <w:pPr>
              <w:jc w:val="right"/>
              <w:rPr>
                <w:rFonts w:ascii="Arial" w:hAnsi="Arial" w:cs="Arial"/>
                <w:sz w:val="17"/>
                <w:szCs w:val="17"/>
              </w:rPr>
            </w:pPr>
            <w:r w:rsidRPr="00ED40C3">
              <w:rPr>
                <w:rFonts w:ascii="Arial" w:hAnsi="Arial" w:cs="Arial"/>
                <w:sz w:val="17"/>
                <w:szCs w:val="17"/>
              </w:rPr>
              <w:t xml:space="preserve"> 159,989,750 </w:t>
            </w:r>
          </w:p>
        </w:tc>
      </w:tr>
      <w:tr w:rsidR="006520E3" w:rsidRPr="00ED40C3" w:rsidTr="00137283">
        <w:trPr>
          <w:trHeight w:val="139"/>
          <w:jc w:val="center"/>
        </w:trPr>
        <w:tc>
          <w:tcPr>
            <w:tcW w:w="4390" w:type="dxa"/>
            <w:tcBorders>
              <w:top w:val="nil"/>
              <w:left w:val="single" w:sz="4" w:space="0" w:color="auto"/>
              <w:bottom w:val="single" w:sz="4" w:space="0" w:color="auto"/>
              <w:right w:val="single" w:sz="4" w:space="0" w:color="auto"/>
            </w:tcBorders>
            <w:shd w:val="clear" w:color="auto" w:fill="auto"/>
            <w:hideMark/>
          </w:tcPr>
          <w:p w:rsidR="006520E3" w:rsidRPr="00ED40C3" w:rsidRDefault="006520E3" w:rsidP="00137283">
            <w:pPr>
              <w:rPr>
                <w:rFonts w:ascii="Arial" w:hAnsi="Arial" w:cs="Arial"/>
                <w:sz w:val="17"/>
                <w:szCs w:val="17"/>
              </w:rPr>
            </w:pPr>
            <w:r w:rsidRPr="00ED40C3">
              <w:rPr>
                <w:rFonts w:ascii="Arial" w:hAnsi="Arial" w:cs="Arial"/>
                <w:sz w:val="17"/>
                <w:szCs w:val="17"/>
              </w:rPr>
              <w:t>Participación en Paraestatales</w:t>
            </w:r>
          </w:p>
        </w:tc>
        <w:tc>
          <w:tcPr>
            <w:tcW w:w="1559" w:type="dxa"/>
            <w:tcBorders>
              <w:top w:val="nil"/>
              <w:left w:val="nil"/>
              <w:bottom w:val="single" w:sz="4" w:space="0" w:color="auto"/>
              <w:right w:val="single" w:sz="4" w:space="0" w:color="auto"/>
            </w:tcBorders>
            <w:shd w:val="clear" w:color="auto" w:fill="auto"/>
            <w:hideMark/>
          </w:tcPr>
          <w:p w:rsidR="006520E3" w:rsidRPr="00AE63AF" w:rsidRDefault="00AE63AF" w:rsidP="00137283">
            <w:pPr>
              <w:jc w:val="right"/>
              <w:rPr>
                <w:rFonts w:ascii="Arial" w:hAnsi="Arial" w:cs="Arial"/>
                <w:sz w:val="17"/>
                <w:szCs w:val="17"/>
              </w:rPr>
            </w:pPr>
            <w:r>
              <w:rPr>
                <w:rFonts w:ascii="Arial" w:hAnsi="Arial" w:cs="Arial"/>
                <w:sz w:val="17"/>
                <w:szCs w:val="17"/>
              </w:rPr>
              <w:t>25,148,253,569</w:t>
            </w:r>
          </w:p>
        </w:tc>
      </w:tr>
      <w:tr w:rsidR="006520E3" w:rsidRPr="00ED40C3" w:rsidTr="00137283">
        <w:trPr>
          <w:trHeight w:val="240"/>
          <w:jc w:val="center"/>
        </w:trPr>
        <w:tc>
          <w:tcPr>
            <w:tcW w:w="4390" w:type="dxa"/>
            <w:tcBorders>
              <w:top w:val="nil"/>
              <w:left w:val="nil"/>
              <w:bottom w:val="nil"/>
              <w:right w:val="nil"/>
            </w:tcBorders>
            <w:shd w:val="clear" w:color="000000" w:fill="FFFFFF"/>
            <w:vAlign w:val="center"/>
            <w:hideMark/>
          </w:tcPr>
          <w:p w:rsidR="006520E3" w:rsidRPr="00ED40C3" w:rsidRDefault="006520E3" w:rsidP="00137283">
            <w:pPr>
              <w:jc w:val="center"/>
              <w:rPr>
                <w:rFonts w:ascii="Arial" w:hAnsi="Arial" w:cs="Arial"/>
                <w:b/>
                <w:bCs/>
                <w:color w:val="000000"/>
                <w:sz w:val="17"/>
                <w:szCs w:val="17"/>
              </w:rPr>
            </w:pPr>
            <w:r w:rsidRPr="00ED40C3">
              <w:rPr>
                <w:rFonts w:ascii="Arial" w:hAnsi="Arial" w:cs="Arial"/>
                <w:b/>
                <w:bCs/>
                <w:color w:val="000000"/>
                <w:sz w:val="17"/>
                <w:szCs w:val="17"/>
              </w:rPr>
              <w:t>Total</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520E3" w:rsidRPr="00AE63AF" w:rsidRDefault="00AE63AF" w:rsidP="00137283">
            <w:pPr>
              <w:jc w:val="right"/>
              <w:rPr>
                <w:rFonts w:ascii="Arial" w:hAnsi="Arial" w:cs="Arial"/>
                <w:sz w:val="17"/>
                <w:szCs w:val="17"/>
              </w:rPr>
            </w:pPr>
            <w:r w:rsidRPr="00AE63AF">
              <w:rPr>
                <w:rFonts w:ascii="Arial" w:hAnsi="Arial" w:cs="Arial"/>
                <w:sz w:val="17"/>
                <w:szCs w:val="17"/>
              </w:rPr>
              <w:t>25,308,243,319</w:t>
            </w:r>
          </w:p>
        </w:tc>
      </w:tr>
    </w:tbl>
    <w:p w:rsidR="006520E3" w:rsidRPr="00ED40C3" w:rsidRDefault="006520E3" w:rsidP="006520E3">
      <w:pPr>
        <w:spacing w:before="80" w:line="250" w:lineRule="exact"/>
        <w:jc w:val="both"/>
        <w:rPr>
          <w:rFonts w:ascii="Arial" w:eastAsia="Calibri" w:hAnsi="Arial" w:cs="Arial"/>
          <w:spacing w:val="-1"/>
          <w:sz w:val="17"/>
          <w:szCs w:val="17"/>
        </w:rPr>
      </w:pPr>
      <w:r w:rsidRPr="00ED40C3">
        <w:rPr>
          <w:rFonts w:ascii="Arial" w:eastAsia="Calibri" w:hAnsi="Arial" w:cs="Arial"/>
          <w:spacing w:val="-1"/>
          <w:sz w:val="17"/>
          <w:szCs w:val="17"/>
        </w:rPr>
        <w:tab/>
      </w:r>
    </w:p>
    <w:p w:rsidR="006520E3" w:rsidRPr="00AB3986" w:rsidRDefault="006520E3" w:rsidP="006520E3">
      <w:pPr>
        <w:spacing w:before="80" w:line="250" w:lineRule="exact"/>
        <w:ind w:left="709"/>
        <w:jc w:val="both"/>
        <w:rPr>
          <w:rFonts w:ascii="Arial" w:eastAsia="Calibri" w:hAnsi="Arial" w:cs="Arial"/>
          <w:spacing w:val="-1"/>
          <w:sz w:val="17"/>
          <w:szCs w:val="17"/>
        </w:rPr>
      </w:pPr>
      <w:r w:rsidRPr="00AB3986">
        <w:rPr>
          <w:rFonts w:ascii="Arial" w:eastAsia="Calibri" w:hAnsi="Arial" w:cs="Arial"/>
          <w:spacing w:val="-1"/>
          <w:sz w:val="17"/>
          <w:szCs w:val="17"/>
        </w:rPr>
        <w:t xml:space="preserve">En la cuenta Centro Sur, S.A. de C.V. se refleja la inversión que se tiene actualizada a valor de 2016 con base a los estados financieros dictaminados proporcionados por la Compañía. </w:t>
      </w:r>
    </w:p>
    <w:p w:rsidR="006520E3" w:rsidRPr="00810856" w:rsidRDefault="006520E3" w:rsidP="006520E3">
      <w:pPr>
        <w:spacing w:before="80" w:line="250" w:lineRule="exact"/>
        <w:ind w:left="709"/>
        <w:jc w:val="both"/>
        <w:rPr>
          <w:rFonts w:ascii="Arial" w:eastAsia="Calibri" w:hAnsi="Arial" w:cs="Arial"/>
          <w:spacing w:val="-1"/>
          <w:sz w:val="17"/>
          <w:szCs w:val="17"/>
        </w:rPr>
      </w:pPr>
      <w:r w:rsidRPr="00AB3986">
        <w:rPr>
          <w:rFonts w:ascii="Arial" w:eastAsia="Calibri" w:hAnsi="Arial" w:cs="Arial"/>
          <w:spacing w:val="-1"/>
          <w:sz w:val="17"/>
          <w:szCs w:val="17"/>
        </w:rPr>
        <w:t xml:space="preserve">Respecto a la Participación en Paraestatales se detalla en </w:t>
      </w:r>
      <w:r w:rsidRPr="00C61AD4">
        <w:rPr>
          <w:rFonts w:ascii="Arial" w:eastAsia="Calibri" w:hAnsi="Arial" w:cs="Arial"/>
          <w:spacing w:val="-1"/>
          <w:sz w:val="17"/>
          <w:szCs w:val="17"/>
        </w:rPr>
        <w:t>el punto 8 de las Notas de Gestión Administrativa.</w:t>
      </w:r>
    </w:p>
    <w:p w:rsidR="006520E3" w:rsidRDefault="006520E3" w:rsidP="006520E3">
      <w:pPr>
        <w:spacing w:before="80" w:line="250" w:lineRule="exact"/>
        <w:ind w:left="709"/>
        <w:jc w:val="both"/>
        <w:rPr>
          <w:rFonts w:ascii="Arial" w:eastAsia="Calibri" w:hAnsi="Arial" w:cs="Arial"/>
          <w:spacing w:val="-1"/>
          <w:sz w:val="17"/>
          <w:szCs w:val="17"/>
        </w:rPr>
      </w:pPr>
    </w:p>
    <w:p w:rsidR="006520E3" w:rsidRPr="006700D9" w:rsidRDefault="006520E3" w:rsidP="006520E3">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7A5CAF">
        <w:rPr>
          <w:rFonts w:ascii="Arial" w:eastAsia="Calibri" w:hAnsi="Arial" w:cs="Arial"/>
          <w:b/>
          <w:spacing w:val="-1"/>
          <w:sz w:val="17"/>
          <w:szCs w:val="17"/>
        </w:rPr>
        <w:t xml:space="preserve">Derechos a Recibir </w:t>
      </w:r>
      <w:r w:rsidRPr="006700D9">
        <w:rPr>
          <w:rFonts w:ascii="Arial" w:eastAsia="Calibri" w:hAnsi="Arial" w:cs="Arial"/>
          <w:b/>
          <w:spacing w:val="-1"/>
          <w:sz w:val="17"/>
          <w:szCs w:val="17"/>
        </w:rPr>
        <w:t>Efectivo o Equivalentes a Largo Plazo</w:t>
      </w:r>
    </w:p>
    <w:p w:rsidR="006520E3" w:rsidRDefault="006520E3" w:rsidP="006520E3">
      <w:pPr>
        <w:spacing w:before="80" w:line="250" w:lineRule="exact"/>
        <w:ind w:left="709"/>
        <w:jc w:val="both"/>
        <w:rPr>
          <w:rFonts w:ascii="Arial" w:eastAsia="Calibri" w:hAnsi="Arial" w:cs="Arial"/>
          <w:spacing w:val="-1"/>
          <w:sz w:val="17"/>
          <w:szCs w:val="17"/>
        </w:rPr>
      </w:pPr>
      <w:r w:rsidRPr="00AB3986">
        <w:rPr>
          <w:rFonts w:ascii="Arial" w:eastAsia="Calibri" w:hAnsi="Arial" w:cs="Arial"/>
          <w:spacing w:val="-1"/>
          <w:sz w:val="17"/>
          <w:szCs w:val="17"/>
        </w:rPr>
        <w:t xml:space="preserve">El saldo al 31 de </w:t>
      </w:r>
      <w:r w:rsidR="0050443D">
        <w:rPr>
          <w:rFonts w:ascii="Arial" w:eastAsia="Calibri" w:hAnsi="Arial" w:cs="Arial"/>
          <w:spacing w:val="-1"/>
          <w:sz w:val="17"/>
          <w:szCs w:val="17"/>
        </w:rPr>
        <w:t>Diciembre</w:t>
      </w:r>
      <w:r w:rsidRPr="00AB3986">
        <w:rPr>
          <w:rFonts w:ascii="Arial" w:eastAsia="Calibri" w:hAnsi="Arial" w:cs="Arial"/>
          <w:spacing w:val="-1"/>
          <w:sz w:val="17"/>
          <w:szCs w:val="17"/>
        </w:rPr>
        <w:t xml:space="preserve"> del 2019 de la cuenta Otros Derechos a Recibir Efectivo o </w:t>
      </w:r>
      <w:r w:rsidRPr="00C61AD4">
        <w:rPr>
          <w:rFonts w:ascii="Arial" w:eastAsia="Calibri" w:hAnsi="Arial" w:cs="Arial"/>
          <w:spacing w:val="-1"/>
          <w:sz w:val="17"/>
          <w:szCs w:val="17"/>
        </w:rPr>
        <w:t>Equivalentes a Largo Plazo es de 0, derivado</w:t>
      </w:r>
      <w:r w:rsidRPr="00AB3986">
        <w:rPr>
          <w:rFonts w:ascii="Arial" w:eastAsia="Calibri" w:hAnsi="Arial" w:cs="Arial"/>
          <w:spacing w:val="-1"/>
          <w:sz w:val="17"/>
          <w:szCs w:val="17"/>
        </w:rPr>
        <w:t xml:space="preserve"> de la transmisión de los bienes inmuebles, mediante la figura de dación en pago al Poder Ejecutivo del Estado de Querétaro, de cinco predios del Instituto de la Vivienda del Estado de Que</w:t>
      </w:r>
      <w:r>
        <w:rPr>
          <w:rFonts w:ascii="Arial" w:eastAsia="Calibri" w:hAnsi="Arial" w:cs="Arial"/>
          <w:spacing w:val="-1"/>
          <w:sz w:val="17"/>
          <w:szCs w:val="17"/>
        </w:rPr>
        <w:t xml:space="preserve">rétaro. </w:t>
      </w: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jc w:val="both"/>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r>
        <w:rPr>
          <w:rFonts w:ascii="Arial" w:eastAsia="Calibri" w:hAnsi="Arial" w:cs="Arial"/>
          <w:spacing w:val="-1"/>
          <w:sz w:val="17"/>
          <w:szCs w:val="17"/>
        </w:rPr>
        <w:br w:type="page"/>
      </w:r>
    </w:p>
    <w:p w:rsidR="006520E3"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lastRenderedPageBreak/>
        <w:t>Bienes muebles, inmuebles e intangibles</w:t>
      </w:r>
    </w:p>
    <w:p w:rsidR="006520E3" w:rsidRPr="002D70DA" w:rsidRDefault="006520E3" w:rsidP="006520E3">
      <w:pPr>
        <w:pStyle w:val="Prrafodelista"/>
        <w:spacing w:before="80" w:line="250" w:lineRule="exact"/>
        <w:ind w:left="714"/>
        <w:contextualSpacing w:val="0"/>
        <w:jc w:val="both"/>
        <w:rPr>
          <w:rFonts w:ascii="Arial" w:eastAsia="Calibri" w:hAnsi="Arial" w:cs="Arial"/>
          <w:b/>
          <w:spacing w:val="-1"/>
          <w:sz w:val="17"/>
          <w:szCs w:val="17"/>
        </w:rPr>
      </w:pPr>
    </w:p>
    <w:p w:rsidR="006520E3" w:rsidRDefault="006520E3" w:rsidP="006520E3">
      <w:pPr>
        <w:pStyle w:val="Prrafodelista"/>
        <w:spacing w:before="80" w:line="250" w:lineRule="exact"/>
        <w:ind w:left="0" w:firstLine="709"/>
        <w:jc w:val="both"/>
        <w:rPr>
          <w:rFonts w:ascii="Arial" w:eastAsia="Calibri" w:hAnsi="Arial" w:cs="Arial"/>
          <w:spacing w:val="-1"/>
          <w:sz w:val="17"/>
          <w:szCs w:val="17"/>
        </w:rPr>
      </w:pPr>
      <w:r w:rsidRPr="001B05EC">
        <w:rPr>
          <w:rFonts w:ascii="Arial" w:eastAsia="Calibri" w:hAnsi="Arial" w:cs="Arial"/>
          <w:spacing w:val="-1"/>
          <w:sz w:val="17"/>
          <w:szCs w:val="17"/>
        </w:rPr>
        <w:t xml:space="preserve">Se informa de manera agrupada por cuenta, el rubro de Bienes Inmuebles, Infraestructura y Construcciones en Proceso, el monto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1B05EC">
        <w:rPr>
          <w:rFonts w:ascii="Arial" w:eastAsia="Calibri" w:hAnsi="Arial" w:cs="Arial"/>
          <w:spacing w:val="-1"/>
          <w:sz w:val="17"/>
          <w:szCs w:val="17"/>
        </w:rPr>
        <w:t>:</w:t>
      </w:r>
    </w:p>
    <w:p w:rsidR="006520E3" w:rsidRDefault="006520E3" w:rsidP="006520E3">
      <w:pPr>
        <w:pStyle w:val="Prrafodelista"/>
        <w:spacing w:before="80" w:line="250" w:lineRule="exact"/>
        <w:ind w:left="6381"/>
        <w:jc w:val="both"/>
        <w:rPr>
          <w:rFonts w:ascii="Arial" w:eastAsia="Calibri" w:hAnsi="Arial" w:cs="Arial"/>
          <w:b/>
          <w:spacing w:val="-1"/>
          <w:sz w:val="17"/>
          <w:szCs w:val="17"/>
        </w:rPr>
      </w:pPr>
    </w:p>
    <w:p w:rsidR="006520E3" w:rsidRPr="008268CC" w:rsidRDefault="006520E3" w:rsidP="006520E3">
      <w:pPr>
        <w:pStyle w:val="Prrafodelista"/>
        <w:spacing w:before="80" w:line="250" w:lineRule="exact"/>
        <w:ind w:left="6381"/>
        <w:jc w:val="both"/>
        <w:rPr>
          <w:rFonts w:ascii="Arial" w:eastAsia="Calibri" w:hAnsi="Arial" w:cs="Arial"/>
          <w:spacing w:val="-1"/>
          <w:sz w:val="17"/>
          <w:szCs w:val="17"/>
        </w:rPr>
      </w:pPr>
      <w:r w:rsidRPr="00C65D2F">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6520E3" w:rsidRPr="002D70DA" w:rsidTr="00137283">
        <w:trPr>
          <w:trHeight w:val="389"/>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vAlign w:val="center"/>
            <w:hideMark/>
          </w:tcPr>
          <w:p w:rsidR="006520E3" w:rsidRPr="00D10083" w:rsidRDefault="006520E3" w:rsidP="00137283">
            <w:pPr>
              <w:rPr>
                <w:rFonts w:ascii="Arial" w:hAnsi="Arial" w:cs="Arial"/>
                <w:bCs/>
                <w:color w:val="000000"/>
                <w:sz w:val="17"/>
                <w:szCs w:val="17"/>
              </w:rPr>
            </w:pPr>
            <w:r w:rsidRPr="00D10083">
              <w:rPr>
                <w:rFonts w:ascii="Arial" w:hAnsi="Arial" w:cs="Arial"/>
                <w:bCs/>
                <w:color w:val="000000"/>
                <w:sz w:val="17"/>
                <w:szCs w:val="17"/>
              </w:rPr>
              <w:t>Terrenos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2,704,381,394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1,892,476,365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vAlign w:val="center"/>
            <w:hideMark/>
          </w:tcPr>
          <w:p w:rsidR="006520E3" w:rsidRPr="00D10083" w:rsidRDefault="006520E3" w:rsidP="00137283">
            <w:pPr>
              <w:rPr>
                <w:rFonts w:ascii="Arial" w:hAnsi="Arial" w:cs="Arial"/>
                <w:bCs/>
                <w:color w:val="000000"/>
                <w:sz w:val="17"/>
                <w:szCs w:val="17"/>
              </w:rPr>
            </w:pPr>
            <w:r>
              <w:rPr>
                <w:rFonts w:ascii="Arial" w:hAnsi="Arial" w:cs="Arial"/>
                <w:bCs/>
                <w:color w:val="000000"/>
                <w:sz w:val="17"/>
                <w:szCs w:val="17"/>
              </w:rPr>
              <w:t>Viviendas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5,930,695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7,509,105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vAlign w:val="center"/>
            <w:hideMark/>
          </w:tcPr>
          <w:p w:rsidR="006520E3" w:rsidRPr="00D10083" w:rsidRDefault="006520E3" w:rsidP="00137283">
            <w:pPr>
              <w:rPr>
                <w:rFonts w:ascii="Arial" w:hAnsi="Arial" w:cs="Arial"/>
                <w:bCs/>
                <w:color w:val="000000"/>
                <w:sz w:val="17"/>
                <w:szCs w:val="17"/>
              </w:rPr>
            </w:pPr>
            <w:r>
              <w:rPr>
                <w:rFonts w:ascii="Arial" w:hAnsi="Arial" w:cs="Arial"/>
                <w:bCs/>
                <w:color w:val="000000"/>
                <w:sz w:val="17"/>
                <w:szCs w:val="17"/>
              </w:rPr>
              <w:t>Edificios no Habitacionales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7,484,069,636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8,194,117,820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vAlign w:val="center"/>
          </w:tcPr>
          <w:p w:rsidR="006520E3" w:rsidRPr="00D10083" w:rsidRDefault="006520E3" w:rsidP="00137283">
            <w:pPr>
              <w:rPr>
                <w:rFonts w:ascii="Arial" w:hAnsi="Arial" w:cs="Arial"/>
                <w:bCs/>
                <w:color w:val="000000"/>
                <w:sz w:val="17"/>
                <w:szCs w:val="17"/>
              </w:rPr>
            </w:pPr>
            <w:r>
              <w:rPr>
                <w:rFonts w:ascii="Arial" w:hAnsi="Arial" w:cs="Arial"/>
                <w:bCs/>
                <w:color w:val="000000"/>
                <w:sz w:val="17"/>
                <w:szCs w:val="17"/>
              </w:rPr>
              <w:t>Infraestructura</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620,739,252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292,315,235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vAlign w:val="center"/>
          </w:tcPr>
          <w:p w:rsidR="006520E3" w:rsidRPr="00E57558" w:rsidRDefault="006520E3" w:rsidP="00137283">
            <w:pPr>
              <w:rPr>
                <w:rFonts w:ascii="Arial" w:hAnsi="Arial" w:cs="Arial"/>
                <w:bCs/>
                <w:color w:val="000000"/>
                <w:sz w:val="17"/>
                <w:szCs w:val="17"/>
              </w:rPr>
            </w:pPr>
            <w:r w:rsidRPr="00E57558">
              <w:rPr>
                <w:rFonts w:ascii="Arial" w:hAnsi="Arial" w:cs="Arial"/>
                <w:bCs/>
                <w:color w:val="000000"/>
                <w:sz w:val="17"/>
                <w:szCs w:val="17"/>
              </w:rPr>
              <w:t>Construcciones en Proceso en Bienes de Dominio Público</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569,485,371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820,982,392 </w:t>
            </w:r>
          </w:p>
        </w:tc>
      </w:tr>
      <w:tr w:rsidR="006520E3" w:rsidRPr="002D70DA" w:rsidTr="00137283">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E57558" w:rsidRDefault="006520E3" w:rsidP="00137283">
            <w:pPr>
              <w:rPr>
                <w:rFonts w:ascii="Arial" w:hAnsi="Arial" w:cs="Arial"/>
                <w:bCs/>
                <w:color w:val="000000"/>
                <w:sz w:val="17"/>
                <w:szCs w:val="17"/>
              </w:rPr>
            </w:pPr>
            <w:r w:rsidRPr="00E57558">
              <w:rPr>
                <w:rFonts w:ascii="Arial" w:hAnsi="Arial" w:cs="Arial"/>
                <w:bCs/>
                <w:color w:val="000000"/>
                <w:sz w:val="17"/>
                <w:szCs w:val="17"/>
              </w:rPr>
              <w:t>Construcciones en Proceso en Bienes Propios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4,460,544 </w:t>
            </w:r>
          </w:p>
        </w:tc>
      </w:tr>
      <w:tr w:rsidR="006520E3" w:rsidRPr="002D70DA" w:rsidTr="00137283">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F81B79" w:rsidRDefault="006520E3" w:rsidP="00137283">
            <w:pPr>
              <w:rPr>
                <w:rFonts w:ascii="Arial" w:hAnsi="Arial" w:cs="Arial"/>
                <w:bCs/>
                <w:color w:val="000000"/>
                <w:sz w:val="17"/>
                <w:szCs w:val="17"/>
              </w:rPr>
            </w:pPr>
            <w:r w:rsidRPr="00F81B79">
              <w:rPr>
                <w:rFonts w:ascii="Arial" w:hAnsi="Arial" w:cs="Arial"/>
                <w:bCs/>
                <w:color w:val="000000"/>
                <w:sz w:val="17"/>
                <w:szCs w:val="17"/>
              </w:rPr>
              <w:t>Otros Bienes Inmuebles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16,674,992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8,923,505 </w:t>
            </w:r>
          </w:p>
        </w:tc>
      </w:tr>
      <w:tr w:rsidR="006520E3" w:rsidRPr="002D70DA" w:rsidTr="00137283">
        <w:trPr>
          <w:trHeight w:val="240"/>
          <w:jc w:val="center"/>
        </w:trPr>
        <w:tc>
          <w:tcPr>
            <w:tcW w:w="4743" w:type="dxa"/>
            <w:tcBorders>
              <w:top w:val="single" w:sz="4" w:space="0" w:color="auto"/>
              <w:right w:val="single" w:sz="4" w:space="0" w:color="auto"/>
            </w:tcBorders>
            <w:shd w:val="clear" w:color="auto" w:fill="auto"/>
            <w:vAlign w:val="center"/>
          </w:tcPr>
          <w:p w:rsidR="006520E3" w:rsidRPr="00F93CE5" w:rsidRDefault="006520E3" w:rsidP="0013728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11,401,281,340 </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sz w:val="17"/>
                <w:szCs w:val="17"/>
              </w:rPr>
            </w:pPr>
            <w:r w:rsidRPr="00941BEA">
              <w:rPr>
                <w:rFonts w:ascii="Arial" w:hAnsi="Arial" w:cs="Arial"/>
                <w:sz w:val="17"/>
                <w:szCs w:val="17"/>
              </w:rPr>
              <w:t xml:space="preserve"> 11,220,784,966 </w:t>
            </w:r>
          </w:p>
        </w:tc>
      </w:tr>
    </w:tbl>
    <w:p w:rsidR="006520E3" w:rsidRDefault="006520E3" w:rsidP="006520E3">
      <w:pPr>
        <w:spacing w:before="80" w:line="250" w:lineRule="exact"/>
        <w:ind w:left="708" w:firstLine="1"/>
        <w:jc w:val="both"/>
        <w:rPr>
          <w:rFonts w:ascii="Arial" w:eastAsia="Calibri" w:hAnsi="Arial" w:cs="Arial"/>
          <w:spacing w:val="-1"/>
          <w:sz w:val="17"/>
          <w:szCs w:val="17"/>
        </w:rPr>
      </w:pPr>
    </w:p>
    <w:p w:rsidR="000E33E4" w:rsidRPr="000E33E4" w:rsidRDefault="000E33E4" w:rsidP="000E33E4">
      <w:pPr>
        <w:spacing w:before="80" w:line="250" w:lineRule="exact"/>
        <w:ind w:left="708" w:firstLine="1"/>
        <w:jc w:val="both"/>
        <w:rPr>
          <w:rFonts w:ascii="Arial" w:eastAsia="Calibri" w:hAnsi="Arial" w:cs="Arial"/>
          <w:spacing w:val="-1"/>
          <w:sz w:val="17"/>
          <w:szCs w:val="17"/>
        </w:rPr>
      </w:pPr>
      <w:r w:rsidRPr="000E33E4">
        <w:rPr>
          <w:rFonts w:ascii="Arial" w:eastAsia="Calibri" w:hAnsi="Arial" w:cs="Arial"/>
          <w:spacing w:val="-1"/>
          <w:sz w:val="17"/>
          <w:szCs w:val="17"/>
        </w:rPr>
        <w:t>El incremento en la cuenta de Terrenos obedece principalmente a la revaluación catastral de 259 inmuebles así como a la incorporación y reclasificación de bienes que se tenían registrados en las cuentas de Bienes en Comodato y Edificios no Habitacionales.</w:t>
      </w:r>
    </w:p>
    <w:p w:rsidR="000E33E4" w:rsidRPr="000E33E4" w:rsidRDefault="000E33E4" w:rsidP="000E33E4">
      <w:pPr>
        <w:spacing w:before="80" w:line="250" w:lineRule="exact"/>
        <w:ind w:left="709"/>
        <w:jc w:val="both"/>
        <w:rPr>
          <w:rFonts w:ascii="Arial" w:eastAsia="Calibri" w:hAnsi="Arial" w:cs="Arial"/>
          <w:spacing w:val="-1"/>
          <w:sz w:val="17"/>
          <w:szCs w:val="17"/>
        </w:rPr>
      </w:pPr>
      <w:r w:rsidRPr="000E33E4">
        <w:rPr>
          <w:rFonts w:ascii="Arial" w:eastAsia="Calibri" w:hAnsi="Arial" w:cs="Arial"/>
          <w:spacing w:val="-1"/>
          <w:sz w:val="17"/>
          <w:szCs w:val="17"/>
        </w:rPr>
        <w:t>Destacando los siguientes bienes inmuebles:</w:t>
      </w:r>
    </w:p>
    <w:p w:rsidR="000E33E4" w:rsidRPr="000E33E4" w:rsidRDefault="000E33E4" w:rsidP="000E33E4">
      <w:pPr>
        <w:spacing w:before="80" w:line="250" w:lineRule="exact"/>
        <w:ind w:left="709"/>
        <w:jc w:val="both"/>
        <w:rPr>
          <w:rFonts w:ascii="Arial" w:eastAsia="Calibri" w:hAnsi="Arial" w:cs="Arial"/>
          <w:spacing w:val="-1"/>
          <w:sz w:val="17"/>
          <w:szCs w:val="17"/>
        </w:rPr>
      </w:pP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 Corregidora, reclasificación de reserva territorial por un importe de 137</w:t>
      </w:r>
      <w:proofErr w:type="gramStart"/>
      <w:r w:rsidRPr="000E33E4">
        <w:rPr>
          <w:rFonts w:ascii="Arial" w:eastAsia="Calibri" w:hAnsi="Arial" w:cs="Arial"/>
          <w:spacing w:val="-1"/>
          <w:sz w:val="17"/>
          <w:szCs w:val="17"/>
        </w:rPr>
        <w:t>,349,600</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del Marques, revalúo de reserva territorial por un importe de 86</w:t>
      </w:r>
      <w:proofErr w:type="gramStart"/>
      <w:r w:rsidRPr="000E33E4">
        <w:rPr>
          <w:rFonts w:ascii="Arial" w:eastAsia="Calibri" w:hAnsi="Arial" w:cs="Arial"/>
          <w:spacing w:val="-1"/>
          <w:sz w:val="17"/>
          <w:szCs w:val="17"/>
        </w:rPr>
        <w:t>,212,574</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 xml:space="preserve">Municipio de </w:t>
      </w:r>
      <w:proofErr w:type="spellStart"/>
      <w:r w:rsidRPr="000E33E4">
        <w:rPr>
          <w:rFonts w:ascii="Arial" w:eastAsia="Calibri" w:hAnsi="Arial" w:cs="Arial"/>
          <w:spacing w:val="-1"/>
          <w:sz w:val="17"/>
          <w:szCs w:val="17"/>
        </w:rPr>
        <w:t>Amealco</w:t>
      </w:r>
      <w:proofErr w:type="spellEnd"/>
      <w:r w:rsidRPr="000E33E4">
        <w:rPr>
          <w:rFonts w:ascii="Arial" w:eastAsia="Calibri" w:hAnsi="Arial" w:cs="Arial"/>
          <w:spacing w:val="-1"/>
          <w:sz w:val="17"/>
          <w:szCs w:val="17"/>
        </w:rPr>
        <w:t>, reclasificación de terreno por un importe de 65</w:t>
      </w:r>
      <w:proofErr w:type="gramStart"/>
      <w:r w:rsidRPr="000E33E4">
        <w:rPr>
          <w:rFonts w:ascii="Arial" w:eastAsia="Calibri" w:hAnsi="Arial" w:cs="Arial"/>
          <w:spacing w:val="-1"/>
          <w:sz w:val="17"/>
          <w:szCs w:val="17"/>
        </w:rPr>
        <w:t>,679,871</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 Querétaro, revalúo de lote de terreno por un importe de 51</w:t>
      </w:r>
      <w:proofErr w:type="gramStart"/>
      <w:r w:rsidRPr="000E33E4">
        <w:rPr>
          <w:rFonts w:ascii="Arial" w:eastAsia="Calibri" w:hAnsi="Arial" w:cs="Arial"/>
          <w:spacing w:val="-1"/>
          <w:sz w:val="17"/>
          <w:szCs w:val="17"/>
        </w:rPr>
        <w:t>,217,593</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 Querétaro, revalúo de lote de terreno por un importe de 33</w:t>
      </w:r>
      <w:proofErr w:type="gramStart"/>
      <w:r w:rsidRPr="000E33E4">
        <w:rPr>
          <w:rFonts w:ascii="Arial" w:eastAsia="Calibri" w:hAnsi="Arial" w:cs="Arial"/>
          <w:spacing w:val="-1"/>
          <w:sz w:val="17"/>
          <w:szCs w:val="17"/>
        </w:rPr>
        <w:t>,564,186</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 Querétaro, revalúo de reserva territorial por un importe de 32</w:t>
      </w:r>
      <w:proofErr w:type="gramStart"/>
      <w:r w:rsidRPr="000E33E4">
        <w:rPr>
          <w:rFonts w:ascii="Arial" w:eastAsia="Calibri" w:hAnsi="Arial" w:cs="Arial"/>
          <w:spacing w:val="-1"/>
          <w:sz w:val="17"/>
          <w:szCs w:val="17"/>
        </w:rPr>
        <w:t>,329,145</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 Querétaro, revalúo de lote de terreno por un importe de 31</w:t>
      </w:r>
      <w:proofErr w:type="gramStart"/>
      <w:r w:rsidRPr="000E33E4">
        <w:rPr>
          <w:rFonts w:ascii="Arial" w:eastAsia="Calibri" w:hAnsi="Arial" w:cs="Arial"/>
          <w:spacing w:val="-1"/>
          <w:sz w:val="17"/>
          <w:szCs w:val="17"/>
        </w:rPr>
        <w:t>,445,725</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8"/>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del Marqués, revalúo de reserva territorial por un importe de 28</w:t>
      </w:r>
      <w:proofErr w:type="gramStart"/>
      <w:r w:rsidRPr="000E33E4">
        <w:rPr>
          <w:rFonts w:ascii="Arial" w:eastAsia="Calibri" w:hAnsi="Arial" w:cs="Arial"/>
          <w:spacing w:val="-1"/>
          <w:sz w:val="17"/>
          <w:szCs w:val="17"/>
        </w:rPr>
        <w:t>,200,000</w:t>
      </w:r>
      <w:proofErr w:type="gramEnd"/>
      <w:r w:rsidRPr="000E33E4">
        <w:rPr>
          <w:rFonts w:ascii="Arial" w:eastAsia="Calibri" w:hAnsi="Arial" w:cs="Arial"/>
          <w:spacing w:val="-1"/>
          <w:sz w:val="17"/>
          <w:szCs w:val="17"/>
        </w:rPr>
        <w:t>.</w:t>
      </w:r>
    </w:p>
    <w:p w:rsidR="000E33E4" w:rsidRPr="000E33E4" w:rsidRDefault="000E33E4" w:rsidP="000E33E4">
      <w:pPr>
        <w:pStyle w:val="Prrafodelista"/>
        <w:spacing w:before="80" w:line="250" w:lineRule="exact"/>
        <w:ind w:left="1429"/>
        <w:jc w:val="both"/>
        <w:rPr>
          <w:rFonts w:ascii="Arial" w:eastAsia="Calibri" w:hAnsi="Arial" w:cs="Arial"/>
          <w:spacing w:val="-1"/>
          <w:sz w:val="17"/>
          <w:szCs w:val="17"/>
        </w:rPr>
      </w:pPr>
    </w:p>
    <w:p w:rsidR="000E33E4" w:rsidRPr="000E33E4" w:rsidRDefault="000E33E4" w:rsidP="000E33E4">
      <w:pPr>
        <w:spacing w:before="80" w:line="250" w:lineRule="exact"/>
        <w:ind w:left="709"/>
        <w:jc w:val="both"/>
        <w:rPr>
          <w:rFonts w:ascii="Arial" w:eastAsia="Calibri" w:hAnsi="Arial" w:cs="Arial"/>
          <w:spacing w:val="-1"/>
          <w:sz w:val="17"/>
          <w:szCs w:val="17"/>
        </w:rPr>
      </w:pPr>
      <w:r w:rsidRPr="000E33E4">
        <w:rPr>
          <w:rFonts w:ascii="Arial" w:eastAsia="Calibri" w:hAnsi="Arial" w:cs="Arial"/>
          <w:spacing w:val="-1"/>
          <w:sz w:val="17"/>
          <w:szCs w:val="17"/>
        </w:rPr>
        <w:t>El decremento en la cuenta de Viviendas corresponde principalmente a la reclasificación a la cuenta de Bienes en Comodato entre los que destaca:</w:t>
      </w:r>
    </w:p>
    <w:p w:rsidR="000E33E4" w:rsidRPr="000E33E4" w:rsidRDefault="000E33E4" w:rsidP="000E33E4">
      <w:pPr>
        <w:spacing w:before="80" w:line="250" w:lineRule="exact"/>
        <w:ind w:left="709"/>
        <w:jc w:val="both"/>
        <w:rPr>
          <w:rFonts w:ascii="Arial" w:eastAsia="Calibri" w:hAnsi="Arial" w:cs="Arial"/>
          <w:spacing w:val="-1"/>
          <w:sz w:val="17"/>
          <w:szCs w:val="17"/>
        </w:rPr>
      </w:pPr>
    </w:p>
    <w:p w:rsidR="000E33E4" w:rsidRPr="000E33E4" w:rsidRDefault="000E33E4" w:rsidP="000E33E4">
      <w:pPr>
        <w:pStyle w:val="Prrafodelista"/>
        <w:numPr>
          <w:ilvl w:val="0"/>
          <w:numId w:val="33"/>
        </w:numPr>
        <w:spacing w:before="80" w:line="250" w:lineRule="exact"/>
        <w:ind w:left="1429"/>
        <w:jc w:val="both"/>
        <w:rPr>
          <w:rFonts w:ascii="Arial" w:eastAsia="Calibri" w:hAnsi="Arial" w:cs="Arial"/>
          <w:spacing w:val="-1"/>
          <w:sz w:val="17"/>
          <w:szCs w:val="17"/>
        </w:rPr>
      </w:pPr>
      <w:r w:rsidRPr="000E33E4">
        <w:rPr>
          <w:rFonts w:ascii="Arial" w:eastAsia="Calibri" w:hAnsi="Arial" w:cs="Arial"/>
          <w:spacing w:val="-1"/>
          <w:sz w:val="17"/>
          <w:szCs w:val="17"/>
        </w:rPr>
        <w:t>Municipio de Querétaro, Casa Habitación ubicada en Hacienda San Idelfonso No.30, Mansiones del Valle, por un importe de 2</w:t>
      </w:r>
      <w:proofErr w:type="gramStart"/>
      <w:r w:rsidRPr="000E33E4">
        <w:rPr>
          <w:rFonts w:ascii="Arial" w:eastAsia="Calibri" w:hAnsi="Arial" w:cs="Arial"/>
          <w:spacing w:val="-1"/>
          <w:sz w:val="17"/>
          <w:szCs w:val="17"/>
        </w:rPr>
        <w:t>,433,949</w:t>
      </w:r>
      <w:proofErr w:type="gramEnd"/>
      <w:r w:rsidRPr="000E33E4">
        <w:rPr>
          <w:rFonts w:ascii="Arial" w:eastAsia="Calibri" w:hAnsi="Arial" w:cs="Arial"/>
          <w:spacing w:val="-1"/>
          <w:sz w:val="17"/>
          <w:szCs w:val="17"/>
        </w:rPr>
        <w:t>.</w:t>
      </w:r>
    </w:p>
    <w:p w:rsidR="000E33E4" w:rsidRPr="000E33E4" w:rsidRDefault="000E33E4" w:rsidP="000E33E4">
      <w:pPr>
        <w:pStyle w:val="Prrafodelista"/>
        <w:spacing w:before="80" w:line="250" w:lineRule="exact"/>
        <w:ind w:left="1429"/>
        <w:jc w:val="both"/>
        <w:rPr>
          <w:rFonts w:ascii="Arial" w:eastAsia="Calibri" w:hAnsi="Arial" w:cs="Arial"/>
          <w:spacing w:val="-1"/>
          <w:sz w:val="17"/>
          <w:szCs w:val="17"/>
        </w:rPr>
      </w:pPr>
    </w:p>
    <w:p w:rsidR="000E33E4" w:rsidRPr="000E33E4" w:rsidRDefault="000E33E4" w:rsidP="000E33E4">
      <w:pPr>
        <w:pStyle w:val="Prrafodelista"/>
        <w:spacing w:before="80" w:line="250" w:lineRule="exact"/>
        <w:ind w:left="1429"/>
        <w:jc w:val="both"/>
        <w:rPr>
          <w:rFonts w:ascii="Arial" w:eastAsia="Calibri" w:hAnsi="Arial" w:cs="Arial"/>
          <w:spacing w:val="-1"/>
          <w:sz w:val="17"/>
          <w:szCs w:val="17"/>
        </w:rPr>
      </w:pPr>
    </w:p>
    <w:p w:rsidR="000E33E4" w:rsidRPr="000E33E4" w:rsidRDefault="000E33E4" w:rsidP="000E33E4">
      <w:pPr>
        <w:pStyle w:val="Prrafodelista"/>
        <w:spacing w:before="80" w:line="250" w:lineRule="exact"/>
        <w:ind w:left="1429"/>
        <w:jc w:val="both"/>
        <w:rPr>
          <w:rFonts w:ascii="Arial" w:eastAsia="Calibri" w:hAnsi="Arial" w:cs="Arial"/>
          <w:spacing w:val="-1"/>
          <w:sz w:val="17"/>
          <w:szCs w:val="17"/>
        </w:rPr>
      </w:pPr>
    </w:p>
    <w:p w:rsidR="000E33E4" w:rsidRPr="000E33E4" w:rsidRDefault="000E33E4" w:rsidP="000E33E4">
      <w:pPr>
        <w:pStyle w:val="Prrafodelista"/>
        <w:spacing w:before="80" w:line="250" w:lineRule="exact"/>
        <w:ind w:left="1429"/>
        <w:jc w:val="both"/>
        <w:rPr>
          <w:rFonts w:ascii="Arial" w:eastAsia="Calibri" w:hAnsi="Arial" w:cs="Arial"/>
          <w:spacing w:val="-1"/>
          <w:sz w:val="17"/>
          <w:szCs w:val="17"/>
        </w:rPr>
      </w:pPr>
    </w:p>
    <w:p w:rsidR="000E33E4" w:rsidRPr="000E33E4" w:rsidRDefault="000E33E4" w:rsidP="000E33E4">
      <w:pPr>
        <w:spacing w:before="80" w:line="250" w:lineRule="exact"/>
        <w:ind w:left="709"/>
        <w:jc w:val="both"/>
        <w:rPr>
          <w:rFonts w:ascii="Arial" w:eastAsia="Calibri" w:hAnsi="Arial" w:cs="Arial"/>
          <w:spacing w:val="-1"/>
          <w:sz w:val="17"/>
          <w:szCs w:val="17"/>
        </w:rPr>
      </w:pPr>
      <w:r w:rsidRPr="000E33E4">
        <w:rPr>
          <w:rFonts w:ascii="Arial" w:eastAsia="Calibri" w:hAnsi="Arial" w:cs="Arial"/>
          <w:spacing w:val="-1"/>
          <w:sz w:val="17"/>
          <w:szCs w:val="17"/>
        </w:rPr>
        <w:lastRenderedPageBreak/>
        <w:t>El Decremento en la cuenta de Edificios no Habitacionales, obedece la reclasificación de bienes a la cuenta de Bienes en Comodato en los que destacan:</w:t>
      </w:r>
    </w:p>
    <w:p w:rsidR="000E33E4" w:rsidRPr="000E33E4" w:rsidRDefault="000E33E4" w:rsidP="000E33E4">
      <w:pPr>
        <w:spacing w:before="80" w:line="250" w:lineRule="exact"/>
        <w:ind w:left="709"/>
        <w:jc w:val="both"/>
        <w:rPr>
          <w:rFonts w:ascii="Arial" w:eastAsia="Calibri" w:hAnsi="Arial" w:cs="Arial"/>
          <w:spacing w:val="-1"/>
          <w:sz w:val="17"/>
          <w:szCs w:val="17"/>
        </w:rPr>
      </w:pP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 Querétaro, reclasificación de Unidad Deportiva p</w:t>
      </w:r>
      <w:r w:rsidR="000B7DD7">
        <w:rPr>
          <w:rFonts w:ascii="Arial" w:eastAsia="Calibri" w:hAnsi="Arial" w:cs="Arial"/>
          <w:spacing w:val="-1"/>
          <w:sz w:val="17"/>
          <w:szCs w:val="17"/>
        </w:rPr>
        <w:t>or un importe de 281, 245,674</w:t>
      </w:r>
      <w:r w:rsidRPr="000E33E4">
        <w:rPr>
          <w:rFonts w:ascii="Arial" w:eastAsia="Calibri" w:hAnsi="Arial" w:cs="Arial"/>
          <w:spacing w:val="-1"/>
          <w:sz w:val="17"/>
          <w:szCs w:val="17"/>
        </w:rPr>
        <w:t>.</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 xml:space="preserve">Municipio de San Juan del Río, reclasificación Unidad Deportiva </w:t>
      </w:r>
      <w:r w:rsidR="000B7DD7">
        <w:rPr>
          <w:rFonts w:ascii="Arial" w:eastAsia="Calibri" w:hAnsi="Arial" w:cs="Arial"/>
          <w:spacing w:val="-1"/>
          <w:sz w:val="17"/>
          <w:szCs w:val="17"/>
        </w:rPr>
        <w:t>por un importe de 72, 769,166</w:t>
      </w:r>
      <w:r w:rsidRPr="000E33E4">
        <w:rPr>
          <w:rFonts w:ascii="Arial" w:eastAsia="Calibri" w:hAnsi="Arial" w:cs="Arial"/>
          <w:spacing w:val="-1"/>
          <w:sz w:val="17"/>
          <w:szCs w:val="17"/>
        </w:rPr>
        <w:t>.</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 xml:space="preserve">Municipio de Querétaro, reclasificación de Centro de Desarrollo Infantil </w:t>
      </w:r>
      <w:r w:rsidR="000B7DD7">
        <w:rPr>
          <w:rFonts w:ascii="Arial" w:eastAsia="Calibri" w:hAnsi="Arial" w:cs="Arial"/>
          <w:spacing w:val="-1"/>
          <w:sz w:val="17"/>
          <w:szCs w:val="17"/>
        </w:rPr>
        <w:t>por un importe de 68, 383,535</w:t>
      </w:r>
      <w:r w:rsidRPr="000E33E4">
        <w:rPr>
          <w:rFonts w:ascii="Arial" w:eastAsia="Calibri" w:hAnsi="Arial" w:cs="Arial"/>
          <w:spacing w:val="-1"/>
          <w:sz w:val="17"/>
          <w:szCs w:val="17"/>
        </w:rPr>
        <w:t>.</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 xml:space="preserve">Municipio de </w:t>
      </w:r>
      <w:proofErr w:type="spellStart"/>
      <w:r w:rsidRPr="000E33E4">
        <w:rPr>
          <w:rFonts w:ascii="Arial" w:eastAsia="Calibri" w:hAnsi="Arial" w:cs="Arial"/>
          <w:spacing w:val="-1"/>
          <w:sz w:val="17"/>
          <w:szCs w:val="17"/>
        </w:rPr>
        <w:t>Amealco</w:t>
      </w:r>
      <w:proofErr w:type="spellEnd"/>
      <w:r w:rsidRPr="000E33E4">
        <w:rPr>
          <w:rFonts w:ascii="Arial" w:eastAsia="Calibri" w:hAnsi="Arial" w:cs="Arial"/>
          <w:spacing w:val="-1"/>
          <w:sz w:val="17"/>
          <w:szCs w:val="17"/>
        </w:rPr>
        <w:t xml:space="preserve">, reclasificación de Terreno </w:t>
      </w:r>
      <w:r w:rsidR="000B7DD7">
        <w:rPr>
          <w:rFonts w:ascii="Arial" w:eastAsia="Calibri" w:hAnsi="Arial" w:cs="Arial"/>
          <w:spacing w:val="-1"/>
          <w:sz w:val="17"/>
          <w:szCs w:val="17"/>
        </w:rPr>
        <w:t>por un importe de 65, 679,871</w:t>
      </w:r>
      <w:r w:rsidRPr="000E33E4">
        <w:rPr>
          <w:rFonts w:ascii="Arial" w:eastAsia="Calibri" w:hAnsi="Arial" w:cs="Arial"/>
          <w:spacing w:val="-1"/>
          <w:sz w:val="17"/>
          <w:szCs w:val="17"/>
        </w:rPr>
        <w:t>.</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 Querétaro, desincorporación de Oficinas por un importe de 55, 664,944.</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 Querétaro, desincorporación de Estacionamiento por un importe de 52, 874,720.</w:t>
      </w:r>
    </w:p>
    <w:p w:rsidR="000E33E4" w:rsidRPr="000E33E4" w:rsidRDefault="000E33E4" w:rsidP="000E33E4">
      <w:p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 xml:space="preserve"> </w:t>
      </w:r>
    </w:p>
    <w:p w:rsidR="000E33E4" w:rsidRPr="000E33E4" w:rsidRDefault="000E33E4" w:rsidP="000E33E4">
      <w:pPr>
        <w:spacing w:before="80" w:line="250" w:lineRule="exact"/>
        <w:ind w:left="709"/>
        <w:jc w:val="both"/>
        <w:rPr>
          <w:rFonts w:ascii="Arial" w:eastAsia="Calibri" w:hAnsi="Arial" w:cs="Arial"/>
          <w:spacing w:val="-1"/>
          <w:sz w:val="17"/>
          <w:szCs w:val="17"/>
        </w:rPr>
      </w:pPr>
      <w:r w:rsidRPr="000E33E4">
        <w:rPr>
          <w:rFonts w:ascii="Arial" w:eastAsia="Calibri" w:hAnsi="Arial" w:cs="Arial"/>
          <w:color w:val="000000" w:themeColor="text1"/>
          <w:spacing w:val="-1"/>
          <w:sz w:val="17"/>
          <w:szCs w:val="17"/>
        </w:rPr>
        <w:t xml:space="preserve">El incremento en la cuenta de Infraestructura, se debe principalmente a la </w:t>
      </w:r>
      <w:r w:rsidRPr="000E33E4">
        <w:rPr>
          <w:rFonts w:ascii="Arial" w:eastAsia="Calibri" w:hAnsi="Arial" w:cs="Arial"/>
          <w:spacing w:val="-1"/>
          <w:sz w:val="17"/>
          <w:szCs w:val="17"/>
        </w:rPr>
        <w:t>reclasificación de bienes que anteriormente se tenían registrados en la cuenta de Bienes en Comodato en los que destacan:</w:t>
      </w:r>
    </w:p>
    <w:p w:rsidR="000E33E4" w:rsidRPr="000E33E4" w:rsidRDefault="000E33E4" w:rsidP="000E33E4">
      <w:pPr>
        <w:spacing w:before="80" w:line="250" w:lineRule="exact"/>
        <w:ind w:left="709"/>
        <w:jc w:val="both"/>
        <w:rPr>
          <w:rFonts w:ascii="Arial" w:eastAsia="Calibri" w:hAnsi="Arial" w:cs="Arial"/>
          <w:spacing w:val="-1"/>
          <w:sz w:val="17"/>
          <w:szCs w:val="17"/>
        </w:rPr>
      </w:pP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 Corregidora, reclasificación de Planta tratadora de Aguas Residuales por un importe de 268</w:t>
      </w:r>
      <w:proofErr w:type="gramStart"/>
      <w:r w:rsidRPr="000E33E4">
        <w:rPr>
          <w:rFonts w:ascii="Arial" w:eastAsia="Calibri" w:hAnsi="Arial" w:cs="Arial"/>
          <w:spacing w:val="-1"/>
          <w:sz w:val="17"/>
          <w:szCs w:val="17"/>
        </w:rPr>
        <w:t>,219,730</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 Cadereyta, reclasificación de Planta Potabilizadora Acueducto II por un importe de 19</w:t>
      </w:r>
      <w:proofErr w:type="gramStart"/>
      <w:r w:rsidRPr="000E33E4">
        <w:rPr>
          <w:rFonts w:ascii="Arial" w:eastAsia="Calibri" w:hAnsi="Arial" w:cs="Arial"/>
          <w:spacing w:val="-1"/>
          <w:sz w:val="17"/>
          <w:szCs w:val="17"/>
        </w:rPr>
        <w:t>,799,168</w:t>
      </w:r>
      <w:proofErr w:type="gramEnd"/>
      <w:r w:rsidRPr="000E33E4">
        <w:rPr>
          <w:rFonts w:ascii="Arial" w:eastAsia="Calibri" w:hAnsi="Arial" w:cs="Arial"/>
          <w:spacing w:val="-1"/>
          <w:sz w:val="17"/>
          <w:szCs w:val="17"/>
        </w:rPr>
        <w:t>.</w:t>
      </w:r>
    </w:p>
    <w:p w:rsidR="000E33E4" w:rsidRPr="000E33E4" w:rsidRDefault="000E33E4" w:rsidP="000E33E4">
      <w:pPr>
        <w:spacing w:before="80" w:line="250" w:lineRule="exact"/>
        <w:ind w:left="709"/>
        <w:jc w:val="both"/>
        <w:rPr>
          <w:rFonts w:ascii="Arial" w:eastAsia="Calibri" w:hAnsi="Arial" w:cs="Arial"/>
          <w:color w:val="000000" w:themeColor="text1"/>
          <w:spacing w:val="-1"/>
          <w:sz w:val="17"/>
          <w:szCs w:val="17"/>
        </w:rPr>
      </w:pPr>
    </w:p>
    <w:p w:rsidR="000E33E4" w:rsidRPr="000E33E4" w:rsidRDefault="000E33E4" w:rsidP="000E33E4">
      <w:pPr>
        <w:spacing w:after="160" w:line="259" w:lineRule="auto"/>
        <w:ind w:left="709"/>
        <w:jc w:val="both"/>
        <w:rPr>
          <w:rFonts w:ascii="Arial" w:hAnsi="Arial" w:cs="Arial"/>
          <w:bCs/>
          <w:color w:val="000000"/>
          <w:sz w:val="17"/>
          <w:szCs w:val="17"/>
        </w:rPr>
      </w:pPr>
      <w:r w:rsidRPr="000E33E4">
        <w:rPr>
          <w:rFonts w:ascii="Arial" w:eastAsia="Calibri" w:hAnsi="Arial" w:cs="Arial"/>
          <w:spacing w:val="-1"/>
          <w:sz w:val="17"/>
          <w:szCs w:val="17"/>
        </w:rPr>
        <w:t>Dentro de la cuenta Construcciones en Proceso</w:t>
      </w:r>
      <w:r w:rsidRPr="000E33E4">
        <w:rPr>
          <w:rFonts w:ascii="Arial" w:hAnsi="Arial" w:cs="Arial"/>
          <w:bCs/>
          <w:color w:val="000000"/>
          <w:sz w:val="17"/>
          <w:szCs w:val="17"/>
        </w:rPr>
        <w:t xml:space="preserve"> en Bienes de Dominio Público el decremento obedece a la</w:t>
      </w:r>
      <w:r w:rsidR="00476FD6">
        <w:rPr>
          <w:rFonts w:ascii="Arial" w:hAnsi="Arial" w:cs="Arial"/>
          <w:bCs/>
          <w:color w:val="000000"/>
          <w:sz w:val="17"/>
          <w:szCs w:val="17"/>
        </w:rPr>
        <w:t xml:space="preserve"> depuración de aquellas obras que fueron culminadas y se registraron dentro del gasto</w:t>
      </w:r>
      <w:r w:rsidRPr="000E33E4">
        <w:rPr>
          <w:rFonts w:ascii="Arial" w:hAnsi="Arial" w:cs="Arial"/>
          <w:bCs/>
          <w:color w:val="000000"/>
          <w:sz w:val="17"/>
          <w:szCs w:val="17"/>
        </w:rPr>
        <w:t>.</w:t>
      </w:r>
    </w:p>
    <w:p w:rsidR="000E33E4" w:rsidRPr="000E33E4" w:rsidRDefault="000E33E4" w:rsidP="000E33E4">
      <w:pPr>
        <w:spacing w:after="160" w:line="259" w:lineRule="auto"/>
        <w:ind w:left="709"/>
        <w:jc w:val="both"/>
        <w:rPr>
          <w:rFonts w:ascii="Arial" w:hAnsi="Arial" w:cs="Arial"/>
          <w:bCs/>
          <w:color w:val="000000"/>
          <w:sz w:val="17"/>
          <w:szCs w:val="17"/>
        </w:rPr>
      </w:pPr>
      <w:r w:rsidRPr="000E33E4">
        <w:rPr>
          <w:rFonts w:ascii="Arial" w:hAnsi="Arial" w:cs="Arial"/>
          <w:bCs/>
          <w:color w:val="000000"/>
          <w:sz w:val="17"/>
          <w:szCs w:val="17"/>
        </w:rPr>
        <w:t xml:space="preserve">Por otro lado, en lo que concierne a las Construcciones en Proceso en Bienes Propios destaca la depuración </w:t>
      </w:r>
      <w:r w:rsidRPr="000E33E4">
        <w:rPr>
          <w:rFonts w:ascii="Arial" w:eastAsia="Calibri" w:hAnsi="Arial" w:cs="Arial"/>
          <w:spacing w:val="-1"/>
          <w:sz w:val="17"/>
          <w:szCs w:val="17"/>
        </w:rPr>
        <w:t>realizada al cierre del ejercicio.</w:t>
      </w:r>
    </w:p>
    <w:p w:rsidR="000E33E4" w:rsidRPr="000E33E4" w:rsidRDefault="000E33E4" w:rsidP="000E33E4">
      <w:pPr>
        <w:spacing w:before="80" w:line="250" w:lineRule="exact"/>
        <w:ind w:firstLine="708"/>
        <w:jc w:val="both"/>
        <w:rPr>
          <w:rFonts w:ascii="Arial" w:eastAsia="Calibri" w:hAnsi="Arial" w:cs="Arial"/>
          <w:spacing w:val="-1"/>
          <w:sz w:val="17"/>
          <w:szCs w:val="17"/>
        </w:rPr>
      </w:pPr>
      <w:r w:rsidRPr="000E33E4">
        <w:rPr>
          <w:rFonts w:ascii="Arial" w:eastAsia="Calibri" w:hAnsi="Arial" w:cs="Arial"/>
          <w:color w:val="000000" w:themeColor="text1"/>
          <w:spacing w:val="-1"/>
          <w:sz w:val="17"/>
          <w:szCs w:val="17"/>
        </w:rPr>
        <w:t xml:space="preserve">El incremento en el concepto de Otros Bienes Inmuebles, se debe principalmente a la </w:t>
      </w:r>
      <w:r w:rsidRPr="000E33E4">
        <w:rPr>
          <w:rFonts w:ascii="Arial" w:eastAsia="Calibri" w:hAnsi="Arial" w:cs="Arial"/>
          <w:spacing w:val="-1"/>
          <w:sz w:val="17"/>
          <w:szCs w:val="17"/>
        </w:rPr>
        <w:t>revaluación catastral en los que destacan:</w:t>
      </w:r>
    </w:p>
    <w:p w:rsidR="000E33E4" w:rsidRPr="000E33E4" w:rsidRDefault="000E33E4" w:rsidP="000E33E4">
      <w:pPr>
        <w:spacing w:before="80" w:line="250" w:lineRule="exact"/>
        <w:ind w:firstLine="708"/>
        <w:jc w:val="both"/>
        <w:rPr>
          <w:rFonts w:ascii="Arial" w:eastAsia="Calibri" w:hAnsi="Arial" w:cs="Arial"/>
          <w:spacing w:val="-1"/>
          <w:sz w:val="17"/>
          <w:szCs w:val="17"/>
        </w:rPr>
      </w:pP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del Marqués, revalúo de Banco de Tepetate por un importe de 7</w:t>
      </w:r>
      <w:proofErr w:type="gramStart"/>
      <w:r w:rsidRPr="000E33E4">
        <w:rPr>
          <w:rFonts w:ascii="Arial" w:eastAsia="Calibri" w:hAnsi="Arial" w:cs="Arial"/>
          <w:spacing w:val="-1"/>
          <w:sz w:val="17"/>
          <w:szCs w:val="17"/>
        </w:rPr>
        <w:t>,511,613</w:t>
      </w:r>
      <w:proofErr w:type="gramEnd"/>
      <w:r w:rsidRPr="000E33E4">
        <w:rPr>
          <w:rFonts w:ascii="Arial" w:eastAsia="Calibri" w:hAnsi="Arial" w:cs="Arial"/>
          <w:spacing w:val="-1"/>
          <w:sz w:val="17"/>
          <w:szCs w:val="17"/>
        </w:rPr>
        <w:t>.</w:t>
      </w:r>
    </w:p>
    <w:p w:rsidR="000E33E4" w:rsidRPr="000E33E4" w:rsidRDefault="000E33E4" w:rsidP="000E33E4">
      <w:pPr>
        <w:pStyle w:val="Prrafodelista"/>
        <w:numPr>
          <w:ilvl w:val="0"/>
          <w:numId w:val="37"/>
        </w:numPr>
        <w:spacing w:before="80" w:line="250" w:lineRule="exact"/>
        <w:jc w:val="both"/>
        <w:rPr>
          <w:rFonts w:ascii="Arial" w:eastAsia="Calibri" w:hAnsi="Arial" w:cs="Arial"/>
          <w:spacing w:val="-1"/>
          <w:sz w:val="17"/>
          <w:szCs w:val="17"/>
        </w:rPr>
      </w:pPr>
      <w:r w:rsidRPr="000E33E4">
        <w:rPr>
          <w:rFonts w:ascii="Arial" w:eastAsia="Calibri" w:hAnsi="Arial" w:cs="Arial"/>
          <w:spacing w:val="-1"/>
          <w:sz w:val="17"/>
          <w:szCs w:val="17"/>
        </w:rPr>
        <w:t>Municipio del Marqués, revalúo de Banco de Cantera por un importe de 239,873.</w:t>
      </w:r>
    </w:p>
    <w:p w:rsidR="00DB754F" w:rsidRPr="00171F34" w:rsidRDefault="00DB754F" w:rsidP="00DB754F">
      <w:pPr>
        <w:pStyle w:val="Prrafodelista"/>
        <w:spacing w:before="80" w:line="250" w:lineRule="exact"/>
        <w:ind w:left="1429"/>
        <w:jc w:val="both"/>
        <w:rPr>
          <w:rFonts w:ascii="Arial" w:eastAsia="Calibri" w:hAnsi="Arial" w:cs="Arial"/>
          <w:spacing w:val="-1"/>
          <w:sz w:val="17"/>
          <w:szCs w:val="17"/>
        </w:rPr>
      </w:pPr>
    </w:p>
    <w:p w:rsidR="006520E3" w:rsidRPr="00083CEE" w:rsidRDefault="006520E3" w:rsidP="006520E3">
      <w:pPr>
        <w:spacing w:before="80" w:line="250" w:lineRule="exact"/>
        <w:ind w:left="709"/>
        <w:jc w:val="both"/>
        <w:rPr>
          <w:rFonts w:ascii="Arial" w:eastAsia="Calibri" w:hAnsi="Arial" w:cs="Arial"/>
          <w:color w:val="000000" w:themeColor="text1"/>
          <w:spacing w:val="-1"/>
          <w:sz w:val="17"/>
          <w:szCs w:val="17"/>
        </w:rPr>
      </w:pPr>
    </w:p>
    <w:p w:rsidR="006520E3" w:rsidRDefault="006520E3" w:rsidP="006520E3">
      <w:pPr>
        <w:spacing w:after="160" w:line="259" w:lineRule="auto"/>
        <w:ind w:left="709"/>
        <w:jc w:val="both"/>
        <w:rPr>
          <w:rFonts w:ascii="Arial" w:eastAsia="Calibri" w:hAnsi="Arial" w:cs="Arial"/>
          <w:spacing w:val="-1"/>
          <w:sz w:val="17"/>
          <w:szCs w:val="17"/>
        </w:rPr>
      </w:pPr>
    </w:p>
    <w:p w:rsidR="006520E3" w:rsidRDefault="006520E3" w:rsidP="006520E3">
      <w:pPr>
        <w:spacing w:after="160" w:line="259" w:lineRule="auto"/>
        <w:ind w:left="709"/>
        <w:jc w:val="both"/>
        <w:rPr>
          <w:rFonts w:ascii="Arial" w:eastAsia="Calibri" w:hAnsi="Arial" w:cs="Arial"/>
          <w:spacing w:val="-1"/>
          <w:sz w:val="17"/>
          <w:szCs w:val="17"/>
        </w:rPr>
      </w:pPr>
    </w:p>
    <w:p w:rsidR="006520E3" w:rsidRDefault="006520E3" w:rsidP="006520E3">
      <w:pPr>
        <w:spacing w:after="160" w:line="259" w:lineRule="auto"/>
        <w:ind w:left="709"/>
        <w:jc w:val="both"/>
        <w:rPr>
          <w:rFonts w:ascii="Arial" w:eastAsia="Calibri" w:hAnsi="Arial" w:cs="Arial"/>
          <w:spacing w:val="-1"/>
          <w:sz w:val="17"/>
          <w:szCs w:val="17"/>
        </w:rPr>
      </w:pPr>
    </w:p>
    <w:p w:rsidR="006520E3" w:rsidRDefault="006520E3" w:rsidP="006520E3">
      <w:pPr>
        <w:spacing w:after="160" w:line="259" w:lineRule="auto"/>
        <w:ind w:left="709"/>
        <w:jc w:val="both"/>
        <w:rPr>
          <w:rFonts w:ascii="Arial" w:eastAsia="Calibri" w:hAnsi="Arial" w:cs="Arial"/>
          <w:spacing w:val="-1"/>
          <w:sz w:val="17"/>
          <w:szCs w:val="17"/>
        </w:rPr>
      </w:pPr>
    </w:p>
    <w:p w:rsidR="006520E3" w:rsidRDefault="006520E3" w:rsidP="006520E3">
      <w:pPr>
        <w:spacing w:after="160" w:line="259" w:lineRule="auto"/>
        <w:ind w:left="709"/>
        <w:jc w:val="both"/>
        <w:rPr>
          <w:rFonts w:ascii="Arial" w:eastAsia="Calibri" w:hAnsi="Arial" w:cs="Arial"/>
          <w:spacing w:val="-1"/>
          <w:sz w:val="17"/>
          <w:szCs w:val="17"/>
        </w:rPr>
      </w:pPr>
    </w:p>
    <w:p w:rsidR="006520E3" w:rsidRDefault="006520E3" w:rsidP="006520E3">
      <w:pPr>
        <w:spacing w:after="160" w:line="259" w:lineRule="auto"/>
        <w:ind w:left="709"/>
        <w:jc w:val="both"/>
        <w:rPr>
          <w:rFonts w:ascii="Arial" w:eastAsia="Calibri" w:hAnsi="Arial" w:cs="Arial"/>
          <w:spacing w:val="-1"/>
          <w:sz w:val="17"/>
          <w:szCs w:val="17"/>
        </w:rPr>
      </w:pPr>
    </w:p>
    <w:p w:rsidR="006520E3" w:rsidRDefault="006520E3" w:rsidP="006520E3">
      <w:pPr>
        <w:spacing w:after="160" w:line="259" w:lineRule="auto"/>
        <w:jc w:val="both"/>
        <w:rPr>
          <w:rFonts w:ascii="Arial" w:eastAsia="Calibri" w:hAnsi="Arial" w:cs="Arial"/>
          <w:spacing w:val="-1"/>
          <w:sz w:val="17"/>
          <w:szCs w:val="17"/>
        </w:rPr>
      </w:pPr>
    </w:p>
    <w:p w:rsidR="006520E3" w:rsidRPr="004B14AE" w:rsidRDefault="006520E3" w:rsidP="006520E3">
      <w:pPr>
        <w:spacing w:after="160" w:line="259" w:lineRule="auto"/>
        <w:ind w:left="709"/>
        <w:jc w:val="both"/>
        <w:rPr>
          <w:rFonts w:ascii="Arial" w:eastAsia="Calibri" w:hAnsi="Arial" w:cs="Arial"/>
          <w:spacing w:val="-1"/>
          <w:sz w:val="17"/>
          <w:szCs w:val="17"/>
        </w:rPr>
      </w:pPr>
      <w:r w:rsidRPr="004B14AE">
        <w:rPr>
          <w:rFonts w:ascii="Arial" w:eastAsia="Calibri" w:hAnsi="Arial" w:cs="Arial"/>
          <w:spacing w:val="-1"/>
          <w:sz w:val="17"/>
          <w:szCs w:val="17"/>
        </w:rPr>
        <w:lastRenderedPageBreak/>
        <w:t xml:space="preserve">Se informa de manera agrupada por cuenta, los rubros de bienes inmuebles, el monto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4B14AE">
        <w:rPr>
          <w:rFonts w:ascii="Arial" w:eastAsia="Calibri" w:hAnsi="Arial" w:cs="Arial"/>
          <w:spacing w:val="-1"/>
          <w:sz w:val="17"/>
          <w:szCs w:val="17"/>
        </w:rPr>
        <w:t xml:space="preserve"> de la depreciación del ejercicio y la acumulada, el método de</w:t>
      </w:r>
      <w:r>
        <w:rPr>
          <w:rFonts w:ascii="Arial" w:eastAsia="Calibri" w:hAnsi="Arial" w:cs="Arial"/>
          <w:spacing w:val="-1"/>
          <w:sz w:val="17"/>
          <w:szCs w:val="17"/>
        </w:rPr>
        <w:t xml:space="preserve"> </w:t>
      </w:r>
      <w:r w:rsidRPr="004B14AE">
        <w:rPr>
          <w:rFonts w:ascii="Arial" w:eastAsia="Calibri" w:hAnsi="Arial" w:cs="Arial"/>
          <w:spacing w:val="-1"/>
          <w:sz w:val="17"/>
          <w:szCs w:val="17"/>
        </w:rPr>
        <w:t>depreciación, tasas aplicadas y los criterios de aplicación de los mismos. Asimismo, se informa de las características significativas del estado en que se encuentran los activos:</w:t>
      </w:r>
    </w:p>
    <w:p w:rsidR="006520E3" w:rsidRPr="0029619A" w:rsidRDefault="006520E3" w:rsidP="006520E3">
      <w:pPr>
        <w:pStyle w:val="Prrafodelista"/>
        <w:autoSpaceDE w:val="0"/>
        <w:autoSpaceDN w:val="0"/>
        <w:adjustRightInd w:val="0"/>
        <w:spacing w:before="240" w:after="120"/>
        <w:ind w:left="6403" w:firstLine="687"/>
        <w:rPr>
          <w:rFonts w:ascii="Arial" w:eastAsia="Calibri" w:hAnsi="Arial" w:cs="Arial"/>
          <w:b/>
          <w:spacing w:val="-1"/>
          <w:sz w:val="17"/>
          <w:szCs w:val="17"/>
        </w:rPr>
      </w:pPr>
      <w:r w:rsidRPr="0029619A">
        <w:rPr>
          <w:rFonts w:ascii="Arial" w:eastAsia="Calibri" w:hAnsi="Arial" w:cs="Arial"/>
          <w:b/>
          <w:spacing w:val="-1"/>
          <w:sz w:val="17"/>
          <w:szCs w:val="17"/>
        </w:rPr>
        <w:t xml:space="preserve"> (Pesos)</w:t>
      </w:r>
    </w:p>
    <w:tbl>
      <w:tblPr>
        <w:tblW w:w="5016" w:type="pct"/>
        <w:tblInd w:w="-20" w:type="dxa"/>
        <w:tblCellMar>
          <w:left w:w="70" w:type="dxa"/>
          <w:right w:w="70" w:type="dxa"/>
        </w:tblCellMar>
        <w:tblLook w:val="04A0" w:firstRow="1" w:lastRow="0" w:firstColumn="1" w:lastColumn="0" w:noHBand="0" w:noVBand="1"/>
      </w:tblPr>
      <w:tblGrid>
        <w:gridCol w:w="3054"/>
        <w:gridCol w:w="1450"/>
        <w:gridCol w:w="1450"/>
        <w:gridCol w:w="1450"/>
        <w:gridCol w:w="1144"/>
        <w:gridCol w:w="1272"/>
        <w:gridCol w:w="1773"/>
        <w:gridCol w:w="21"/>
        <w:gridCol w:w="1717"/>
      </w:tblGrid>
      <w:tr w:rsidR="006520E3" w:rsidRPr="002D70DA" w:rsidTr="00137283">
        <w:trPr>
          <w:trHeight w:val="299"/>
        </w:trPr>
        <w:tc>
          <w:tcPr>
            <w:tcW w:w="1145" w:type="pct"/>
            <w:vMerge w:val="restart"/>
            <w:tcBorders>
              <w:top w:val="single" w:sz="4" w:space="0" w:color="auto"/>
              <w:left w:val="single" w:sz="4" w:space="0" w:color="auto"/>
              <w:right w:val="single" w:sz="4" w:space="0" w:color="auto"/>
            </w:tcBorders>
            <w:shd w:val="clear" w:color="auto" w:fill="D5DCE4"/>
            <w:vAlign w:val="center"/>
            <w:hideMark/>
          </w:tcPr>
          <w:p w:rsidR="006520E3" w:rsidRPr="00931A44" w:rsidRDefault="006520E3" w:rsidP="00137283">
            <w:pPr>
              <w:jc w:val="center"/>
              <w:rPr>
                <w:rFonts w:ascii="Arial" w:hAnsi="Arial" w:cs="Arial"/>
                <w:b/>
                <w:bCs/>
                <w:color w:val="000000"/>
                <w:sz w:val="17"/>
                <w:szCs w:val="17"/>
              </w:rPr>
            </w:pPr>
            <w:r w:rsidRPr="00931A44">
              <w:rPr>
                <w:rFonts w:ascii="Arial" w:hAnsi="Arial" w:cs="Arial"/>
                <w:b/>
                <w:bCs/>
                <w:color w:val="000000"/>
                <w:sz w:val="17"/>
                <w:szCs w:val="17"/>
              </w:rPr>
              <w:t>Cuenta de bienes inmuebles</w:t>
            </w:r>
          </w:p>
        </w:tc>
        <w:tc>
          <w:tcPr>
            <w:tcW w:w="544" w:type="pct"/>
            <w:vMerge w:val="restart"/>
            <w:tcBorders>
              <w:top w:val="single" w:sz="4" w:space="0" w:color="auto"/>
              <w:left w:val="nil"/>
              <w:right w:val="single" w:sz="4" w:space="0" w:color="auto"/>
            </w:tcBorders>
            <w:shd w:val="clear" w:color="auto" w:fill="D5DCE4"/>
            <w:vAlign w:val="center"/>
            <w:hideMark/>
          </w:tcPr>
          <w:p w:rsidR="006520E3" w:rsidRPr="00931A44" w:rsidRDefault="006520E3" w:rsidP="00137283">
            <w:pPr>
              <w:jc w:val="center"/>
              <w:rPr>
                <w:rFonts w:ascii="Arial" w:hAnsi="Arial" w:cs="Arial"/>
                <w:b/>
                <w:bCs/>
                <w:color w:val="000000"/>
                <w:sz w:val="17"/>
                <w:szCs w:val="17"/>
              </w:rPr>
            </w:pPr>
            <w:r w:rsidRPr="00931A44">
              <w:rPr>
                <w:rFonts w:ascii="Arial" w:hAnsi="Arial" w:cs="Arial"/>
                <w:b/>
                <w:bCs/>
                <w:color w:val="000000"/>
                <w:sz w:val="17"/>
                <w:szCs w:val="17"/>
              </w:rPr>
              <w:t>Monto de depreciación del ejercicio</w:t>
            </w:r>
          </w:p>
        </w:tc>
        <w:tc>
          <w:tcPr>
            <w:tcW w:w="544"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Monto de depreciación acumulada</w:t>
            </w:r>
          </w:p>
        </w:tc>
        <w:tc>
          <w:tcPr>
            <w:tcW w:w="544"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Método de depreciación</w:t>
            </w:r>
          </w:p>
        </w:tc>
        <w:tc>
          <w:tcPr>
            <w:tcW w:w="429"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Tasa aplicada</w:t>
            </w:r>
          </w:p>
        </w:tc>
        <w:tc>
          <w:tcPr>
            <w:tcW w:w="477"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Criterio de aplicación</w:t>
            </w:r>
          </w:p>
        </w:tc>
        <w:tc>
          <w:tcPr>
            <w:tcW w:w="1317" w:type="pct"/>
            <w:gridSpan w:val="3"/>
            <w:tcBorders>
              <w:top w:val="single" w:sz="4" w:space="0" w:color="auto"/>
              <w:left w:val="nil"/>
              <w:bottom w:val="single" w:sz="4" w:space="0" w:color="auto"/>
              <w:right w:val="single" w:sz="4" w:space="0" w:color="auto"/>
            </w:tcBorders>
            <w:shd w:val="clear" w:color="auto" w:fill="D5DCE4"/>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Características significativas del estado en que encuentren</w:t>
            </w:r>
          </w:p>
        </w:tc>
      </w:tr>
      <w:tr w:rsidR="006520E3" w:rsidRPr="002D70DA" w:rsidTr="00137283">
        <w:trPr>
          <w:trHeight w:val="299"/>
        </w:trPr>
        <w:tc>
          <w:tcPr>
            <w:tcW w:w="1145" w:type="pct"/>
            <w:vMerge/>
            <w:tcBorders>
              <w:left w:val="single" w:sz="4" w:space="0" w:color="auto"/>
              <w:bottom w:val="single" w:sz="4" w:space="0" w:color="auto"/>
              <w:right w:val="single" w:sz="4" w:space="0" w:color="auto"/>
            </w:tcBorders>
            <w:shd w:val="clear" w:color="000000" w:fill="F2F2F2"/>
            <w:vAlign w:val="center"/>
          </w:tcPr>
          <w:p w:rsidR="006520E3" w:rsidRPr="00931A44" w:rsidRDefault="006520E3" w:rsidP="00137283">
            <w:pPr>
              <w:jc w:val="center"/>
              <w:rPr>
                <w:rFonts w:ascii="Arial" w:hAnsi="Arial" w:cs="Arial"/>
                <w:b/>
                <w:bCs/>
                <w:color w:val="000000"/>
                <w:sz w:val="17"/>
                <w:szCs w:val="17"/>
              </w:rPr>
            </w:pPr>
          </w:p>
        </w:tc>
        <w:tc>
          <w:tcPr>
            <w:tcW w:w="544" w:type="pct"/>
            <w:vMerge/>
            <w:tcBorders>
              <w:left w:val="nil"/>
              <w:bottom w:val="single" w:sz="4" w:space="0" w:color="auto"/>
              <w:right w:val="single" w:sz="4" w:space="0" w:color="auto"/>
            </w:tcBorders>
            <w:shd w:val="clear" w:color="000000" w:fill="F2F2F2"/>
            <w:vAlign w:val="center"/>
          </w:tcPr>
          <w:p w:rsidR="006520E3" w:rsidRPr="00931A44" w:rsidRDefault="006520E3" w:rsidP="00137283">
            <w:pPr>
              <w:jc w:val="center"/>
              <w:rPr>
                <w:rFonts w:ascii="Arial" w:hAnsi="Arial" w:cs="Arial"/>
                <w:b/>
                <w:bCs/>
                <w:color w:val="000000"/>
                <w:sz w:val="17"/>
                <w:szCs w:val="17"/>
              </w:rPr>
            </w:pPr>
          </w:p>
        </w:tc>
        <w:tc>
          <w:tcPr>
            <w:tcW w:w="544"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544"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429"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477"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665" w:type="pct"/>
            <w:tcBorders>
              <w:top w:val="single" w:sz="4" w:space="0" w:color="auto"/>
              <w:left w:val="nil"/>
              <w:bottom w:val="single" w:sz="4" w:space="0" w:color="auto"/>
              <w:right w:val="single" w:sz="4" w:space="0" w:color="auto"/>
            </w:tcBorders>
            <w:shd w:val="clear" w:color="auto" w:fill="D5DCE4"/>
          </w:tcPr>
          <w:p w:rsidR="006520E3" w:rsidRPr="002D70DA" w:rsidRDefault="006520E3" w:rsidP="00137283">
            <w:pPr>
              <w:jc w:val="center"/>
              <w:rPr>
                <w:rFonts w:ascii="Arial" w:hAnsi="Arial" w:cs="Arial"/>
                <w:b/>
                <w:bCs/>
                <w:color w:val="000000"/>
                <w:sz w:val="17"/>
                <w:szCs w:val="17"/>
              </w:rPr>
            </w:pPr>
            <w:r w:rsidRPr="00CF62AC">
              <w:rPr>
                <w:rFonts w:ascii="Arial" w:hAnsi="Arial" w:cs="Arial"/>
                <w:b/>
                <w:bCs/>
                <w:color w:val="000000"/>
                <w:sz w:val="17"/>
                <w:szCs w:val="17"/>
              </w:rPr>
              <w:t>Aptos para su uso</w:t>
            </w:r>
          </w:p>
        </w:tc>
        <w:tc>
          <w:tcPr>
            <w:tcW w:w="652" w:type="pct"/>
            <w:gridSpan w:val="2"/>
            <w:tcBorders>
              <w:top w:val="single" w:sz="4" w:space="0" w:color="auto"/>
              <w:left w:val="nil"/>
              <w:bottom w:val="single" w:sz="4" w:space="0" w:color="auto"/>
              <w:right w:val="single" w:sz="4" w:space="0" w:color="auto"/>
            </w:tcBorders>
            <w:shd w:val="clear" w:color="auto" w:fill="D5DCE4"/>
          </w:tcPr>
          <w:p w:rsidR="006520E3" w:rsidRPr="002D70DA" w:rsidRDefault="006520E3" w:rsidP="00137283">
            <w:pPr>
              <w:jc w:val="center"/>
              <w:rPr>
                <w:rFonts w:ascii="Arial" w:hAnsi="Arial" w:cs="Arial"/>
                <w:b/>
                <w:bCs/>
                <w:color w:val="000000"/>
                <w:sz w:val="17"/>
                <w:szCs w:val="17"/>
              </w:rPr>
            </w:pPr>
            <w:r w:rsidRPr="00CF62AC">
              <w:rPr>
                <w:rFonts w:ascii="Arial" w:hAnsi="Arial" w:cs="Arial"/>
                <w:b/>
                <w:bCs/>
                <w:color w:val="000000"/>
                <w:sz w:val="17"/>
                <w:szCs w:val="17"/>
              </w:rPr>
              <w:t>No Aptos o Inservibles</w:t>
            </w:r>
          </w:p>
        </w:tc>
      </w:tr>
      <w:tr w:rsidR="006520E3" w:rsidRPr="009814E2" w:rsidTr="00137283">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931A44" w:rsidRDefault="006520E3" w:rsidP="00137283">
            <w:pPr>
              <w:rPr>
                <w:rFonts w:ascii="Arial" w:hAnsi="Arial" w:cs="Arial"/>
                <w:color w:val="000000"/>
                <w:sz w:val="17"/>
                <w:szCs w:val="17"/>
              </w:rPr>
            </w:pPr>
            <w:r w:rsidRPr="00931A44">
              <w:rPr>
                <w:rFonts w:ascii="Arial" w:hAnsi="Arial" w:cs="Arial"/>
                <w:color w:val="000000"/>
                <w:sz w:val="17"/>
                <w:szCs w:val="17"/>
              </w:rPr>
              <w:t>Viviendas</w:t>
            </w:r>
          </w:p>
        </w:tc>
        <w:tc>
          <w:tcPr>
            <w:tcW w:w="544" w:type="pct"/>
            <w:tcBorders>
              <w:top w:val="nil"/>
              <w:left w:val="nil"/>
              <w:bottom w:val="single" w:sz="4" w:space="0" w:color="auto"/>
              <w:right w:val="single" w:sz="4" w:space="0" w:color="auto"/>
            </w:tcBorders>
            <w:shd w:val="clear" w:color="auto" w:fill="auto"/>
          </w:tcPr>
          <w:p w:rsidR="006520E3" w:rsidRPr="001C7DCE"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11,407 </w:t>
            </w:r>
          </w:p>
        </w:tc>
        <w:tc>
          <w:tcPr>
            <w:tcW w:w="544" w:type="pct"/>
            <w:tcBorders>
              <w:top w:val="nil"/>
              <w:left w:val="nil"/>
              <w:bottom w:val="single" w:sz="4" w:space="0" w:color="auto"/>
              <w:right w:val="single" w:sz="4" w:space="0" w:color="auto"/>
            </w:tcBorders>
            <w:shd w:val="clear" w:color="auto" w:fill="auto"/>
          </w:tcPr>
          <w:p w:rsidR="006520E3" w:rsidRPr="001C7DCE"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40,875 </w:t>
            </w:r>
          </w:p>
        </w:tc>
        <w:tc>
          <w:tcPr>
            <w:tcW w:w="544" w:type="pct"/>
            <w:tcBorders>
              <w:top w:val="nil"/>
              <w:left w:val="nil"/>
              <w:bottom w:val="single" w:sz="4" w:space="0" w:color="auto"/>
              <w:right w:val="single" w:sz="4" w:space="0" w:color="auto"/>
            </w:tcBorders>
            <w:shd w:val="clear" w:color="auto" w:fill="auto"/>
            <w:hideMark/>
          </w:tcPr>
          <w:p w:rsidR="006520E3" w:rsidRPr="00941BEA" w:rsidRDefault="006520E3" w:rsidP="00137283">
            <w:pPr>
              <w:rPr>
                <w:rFonts w:ascii="Arial" w:hAnsi="Arial" w:cs="Arial"/>
                <w:color w:val="000000"/>
                <w:sz w:val="17"/>
                <w:szCs w:val="17"/>
              </w:rPr>
            </w:pPr>
            <w:r w:rsidRPr="00941BEA">
              <w:rPr>
                <w:rFonts w:ascii="Arial" w:hAnsi="Arial" w:cs="Arial"/>
                <w:color w:val="000000"/>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931A44" w:rsidRDefault="006520E3" w:rsidP="00137283">
            <w:pPr>
              <w:rPr>
                <w:rFonts w:ascii="Arial" w:hAnsi="Arial" w:cs="Arial"/>
                <w:sz w:val="17"/>
                <w:szCs w:val="17"/>
              </w:rPr>
            </w:pPr>
            <w:r w:rsidRPr="00931A44">
              <w:rPr>
                <w:rFonts w:ascii="Arial" w:hAnsi="Arial" w:cs="Arial"/>
                <w:sz w:val="17"/>
                <w:szCs w:val="17"/>
              </w:rPr>
              <w:t>2%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931A44" w:rsidRDefault="006520E3" w:rsidP="00137283">
            <w:pPr>
              <w:rPr>
                <w:rFonts w:ascii="Arial" w:hAnsi="Arial" w:cs="Arial"/>
                <w:color w:val="000000"/>
                <w:sz w:val="17"/>
                <w:szCs w:val="17"/>
              </w:rPr>
            </w:pPr>
            <w:r w:rsidRPr="00931A44">
              <w:rPr>
                <w:rFonts w:ascii="Arial" w:hAnsi="Arial" w:cs="Arial"/>
                <w:color w:val="000000"/>
                <w:sz w:val="17"/>
                <w:szCs w:val="17"/>
              </w:rPr>
              <w:t>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0E33E4" w:rsidRDefault="006520E3" w:rsidP="00137283">
            <w:pPr>
              <w:jc w:val="center"/>
            </w:pPr>
            <w:r w:rsidRPr="000E33E4">
              <w:rPr>
                <w:rFonts w:ascii="Arial" w:hAnsi="Arial" w:cs="Arial"/>
                <w:color w:val="000000"/>
                <w:sz w:val="17"/>
                <w:szCs w:val="17"/>
              </w:rPr>
              <w:t>8</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6520E3" w:rsidRPr="00C65AA8" w:rsidRDefault="006520E3" w:rsidP="00137283">
            <w:pPr>
              <w:jc w:val="center"/>
              <w:rPr>
                <w:highlight w:val="yellow"/>
              </w:rPr>
            </w:pPr>
          </w:p>
        </w:tc>
      </w:tr>
      <w:tr w:rsidR="006520E3" w:rsidRPr="009814E2" w:rsidTr="00137283">
        <w:trPr>
          <w:trHeight w:val="240"/>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931A44" w:rsidRDefault="006520E3" w:rsidP="00137283">
            <w:pPr>
              <w:rPr>
                <w:rFonts w:ascii="Arial" w:hAnsi="Arial" w:cs="Arial"/>
                <w:color w:val="000000"/>
                <w:sz w:val="17"/>
                <w:szCs w:val="17"/>
              </w:rPr>
            </w:pPr>
            <w:r w:rsidRPr="00931A44">
              <w:rPr>
                <w:rFonts w:ascii="Arial" w:hAnsi="Arial" w:cs="Arial"/>
                <w:color w:val="000000"/>
                <w:sz w:val="17"/>
                <w:szCs w:val="17"/>
              </w:rPr>
              <w:t>Edificios no habitacionales</w:t>
            </w:r>
          </w:p>
        </w:tc>
        <w:tc>
          <w:tcPr>
            <w:tcW w:w="544" w:type="pct"/>
            <w:tcBorders>
              <w:top w:val="nil"/>
              <w:left w:val="nil"/>
              <w:bottom w:val="single" w:sz="4" w:space="0" w:color="auto"/>
              <w:right w:val="single" w:sz="4" w:space="0" w:color="auto"/>
            </w:tcBorders>
            <w:shd w:val="clear" w:color="auto" w:fill="auto"/>
          </w:tcPr>
          <w:p w:rsidR="006520E3" w:rsidRPr="001C7DCE"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458,076 </w:t>
            </w:r>
          </w:p>
        </w:tc>
        <w:tc>
          <w:tcPr>
            <w:tcW w:w="544" w:type="pct"/>
            <w:tcBorders>
              <w:top w:val="nil"/>
              <w:left w:val="nil"/>
              <w:bottom w:val="single" w:sz="4" w:space="0" w:color="auto"/>
              <w:right w:val="single" w:sz="4" w:space="0" w:color="auto"/>
            </w:tcBorders>
            <w:shd w:val="clear" w:color="auto" w:fill="auto"/>
          </w:tcPr>
          <w:p w:rsidR="006520E3" w:rsidRPr="001C7DCE"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2,491,988 </w:t>
            </w:r>
          </w:p>
        </w:tc>
        <w:tc>
          <w:tcPr>
            <w:tcW w:w="544" w:type="pct"/>
            <w:tcBorders>
              <w:top w:val="nil"/>
              <w:left w:val="nil"/>
              <w:bottom w:val="single" w:sz="4" w:space="0" w:color="auto"/>
              <w:right w:val="single" w:sz="4" w:space="0" w:color="auto"/>
            </w:tcBorders>
            <w:shd w:val="clear" w:color="auto" w:fill="auto"/>
            <w:hideMark/>
          </w:tcPr>
          <w:p w:rsidR="006520E3" w:rsidRPr="00941BEA" w:rsidRDefault="006520E3" w:rsidP="00137283">
            <w:pPr>
              <w:rPr>
                <w:rFonts w:ascii="Arial" w:hAnsi="Arial" w:cs="Arial"/>
                <w:color w:val="000000"/>
                <w:sz w:val="17"/>
                <w:szCs w:val="17"/>
              </w:rPr>
            </w:pPr>
            <w:r w:rsidRPr="00941BEA">
              <w:rPr>
                <w:rFonts w:ascii="Arial" w:hAnsi="Arial" w:cs="Arial"/>
                <w:color w:val="000000"/>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931A44" w:rsidRDefault="006520E3" w:rsidP="00137283">
            <w:pPr>
              <w:rPr>
                <w:rFonts w:ascii="Arial" w:hAnsi="Arial" w:cs="Arial"/>
                <w:sz w:val="17"/>
                <w:szCs w:val="17"/>
              </w:rPr>
            </w:pPr>
            <w:r w:rsidRPr="00931A44">
              <w:rPr>
                <w:rFonts w:ascii="Arial" w:hAnsi="Arial" w:cs="Arial"/>
                <w:sz w:val="17"/>
                <w:szCs w:val="17"/>
              </w:rPr>
              <w:t>3.3%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931A44" w:rsidRDefault="006520E3" w:rsidP="00137283">
            <w:pPr>
              <w:rPr>
                <w:rFonts w:ascii="Arial" w:hAnsi="Arial" w:cs="Arial"/>
                <w:color w:val="000000"/>
                <w:sz w:val="17"/>
                <w:szCs w:val="17"/>
              </w:rPr>
            </w:pPr>
            <w:r w:rsidRPr="00931A44">
              <w:rPr>
                <w:rFonts w:ascii="Arial" w:hAnsi="Arial" w:cs="Arial"/>
                <w:color w:val="000000"/>
                <w:sz w:val="17"/>
                <w:szCs w:val="17"/>
              </w:rPr>
              <w:t>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0E33E4" w:rsidRDefault="000E33E4" w:rsidP="00137283">
            <w:pPr>
              <w:jc w:val="center"/>
              <w:rPr>
                <w:rFonts w:ascii="Arial" w:hAnsi="Arial" w:cs="Arial"/>
                <w:color w:val="000000"/>
                <w:sz w:val="17"/>
                <w:szCs w:val="17"/>
              </w:rPr>
            </w:pPr>
            <w:r w:rsidRPr="000E33E4">
              <w:rPr>
                <w:rFonts w:ascii="Arial" w:hAnsi="Arial" w:cs="Arial"/>
                <w:color w:val="000000"/>
                <w:sz w:val="17"/>
                <w:szCs w:val="17"/>
              </w:rPr>
              <w:t>1,187</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6520E3" w:rsidRPr="00C65AA8" w:rsidRDefault="006520E3" w:rsidP="00137283">
            <w:pPr>
              <w:jc w:val="center"/>
              <w:rPr>
                <w:rFonts w:ascii="Arial" w:hAnsi="Arial" w:cs="Arial"/>
                <w:color w:val="000000"/>
                <w:sz w:val="17"/>
                <w:szCs w:val="17"/>
                <w:highlight w:val="yellow"/>
              </w:rPr>
            </w:pPr>
          </w:p>
        </w:tc>
      </w:tr>
      <w:tr w:rsidR="006520E3" w:rsidRPr="002D70DA" w:rsidTr="00137283">
        <w:trPr>
          <w:trHeight w:val="240"/>
        </w:trPr>
        <w:tc>
          <w:tcPr>
            <w:tcW w:w="1145" w:type="pct"/>
            <w:tcBorders>
              <w:top w:val="nil"/>
              <w:left w:val="nil"/>
              <w:bottom w:val="nil"/>
              <w:right w:val="nil"/>
            </w:tcBorders>
            <w:shd w:val="clear" w:color="000000" w:fill="FFFFFF"/>
            <w:vAlign w:val="center"/>
            <w:hideMark/>
          </w:tcPr>
          <w:p w:rsidR="006520E3" w:rsidRPr="00931A44" w:rsidRDefault="006520E3" w:rsidP="00137283">
            <w:pPr>
              <w:jc w:val="center"/>
              <w:rPr>
                <w:rFonts w:ascii="Arial" w:hAnsi="Arial" w:cs="Arial"/>
                <w:b/>
                <w:bCs/>
                <w:color w:val="000000"/>
                <w:sz w:val="17"/>
                <w:szCs w:val="17"/>
              </w:rPr>
            </w:pPr>
            <w:r w:rsidRPr="00931A44">
              <w:rPr>
                <w:rFonts w:ascii="Arial" w:hAnsi="Arial" w:cs="Arial"/>
                <w:b/>
                <w:bCs/>
                <w:color w:val="000000"/>
                <w:sz w:val="17"/>
                <w:szCs w:val="17"/>
              </w:rPr>
              <w:t>Total</w:t>
            </w:r>
          </w:p>
        </w:tc>
        <w:tc>
          <w:tcPr>
            <w:tcW w:w="544" w:type="pct"/>
            <w:tcBorders>
              <w:top w:val="nil"/>
              <w:left w:val="single" w:sz="4" w:space="0" w:color="auto"/>
              <w:bottom w:val="single" w:sz="4" w:space="0" w:color="auto"/>
              <w:right w:val="single" w:sz="4" w:space="0" w:color="auto"/>
            </w:tcBorders>
            <w:shd w:val="clear" w:color="000000" w:fill="FFFFFF"/>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469,483 </w:t>
            </w:r>
          </w:p>
        </w:tc>
        <w:tc>
          <w:tcPr>
            <w:tcW w:w="544" w:type="pct"/>
            <w:tcBorders>
              <w:top w:val="nil"/>
              <w:left w:val="nil"/>
              <w:bottom w:val="single" w:sz="4" w:space="0" w:color="auto"/>
              <w:right w:val="single" w:sz="4" w:space="0" w:color="auto"/>
            </w:tcBorders>
            <w:shd w:val="clear" w:color="000000" w:fill="FFFFFF"/>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2,532,863 </w:t>
            </w:r>
          </w:p>
        </w:tc>
        <w:tc>
          <w:tcPr>
            <w:tcW w:w="544" w:type="pct"/>
            <w:tcBorders>
              <w:top w:val="nil"/>
              <w:left w:val="nil"/>
              <w:bottom w:val="nil"/>
              <w:right w:val="nil"/>
            </w:tcBorders>
            <w:shd w:val="clear" w:color="000000" w:fill="FFFFFF"/>
            <w:noWrap/>
            <w:vAlign w:val="bottom"/>
            <w:hideMark/>
          </w:tcPr>
          <w:p w:rsidR="006520E3" w:rsidRPr="00941BEA" w:rsidRDefault="006520E3" w:rsidP="00137283">
            <w:pPr>
              <w:rPr>
                <w:rFonts w:ascii="Arial" w:hAnsi="Arial" w:cs="Arial"/>
                <w:color w:val="000000"/>
                <w:sz w:val="17"/>
                <w:szCs w:val="17"/>
              </w:rPr>
            </w:pPr>
            <w:r w:rsidRPr="00941BEA">
              <w:rPr>
                <w:rFonts w:ascii="Arial" w:hAnsi="Arial" w:cs="Arial"/>
                <w:color w:val="000000"/>
                <w:sz w:val="17"/>
                <w:szCs w:val="17"/>
              </w:rPr>
              <w:t> </w:t>
            </w:r>
          </w:p>
        </w:tc>
        <w:tc>
          <w:tcPr>
            <w:tcW w:w="429" w:type="pct"/>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b/>
                <w:bCs/>
                <w:color w:val="FF0000"/>
                <w:sz w:val="17"/>
                <w:szCs w:val="17"/>
              </w:rPr>
            </w:pPr>
            <w:r w:rsidRPr="002D70DA">
              <w:rPr>
                <w:rFonts w:ascii="Arial" w:hAnsi="Arial" w:cs="Arial"/>
                <w:b/>
                <w:bCs/>
                <w:color w:val="FF0000"/>
                <w:sz w:val="17"/>
                <w:szCs w:val="17"/>
              </w:rPr>
              <w:t> </w:t>
            </w:r>
          </w:p>
        </w:tc>
        <w:tc>
          <w:tcPr>
            <w:tcW w:w="477" w:type="pct"/>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b/>
                <w:bCs/>
                <w:color w:val="FF0000"/>
                <w:sz w:val="17"/>
                <w:szCs w:val="17"/>
              </w:rPr>
            </w:pPr>
            <w:r w:rsidRPr="002D70DA">
              <w:rPr>
                <w:rFonts w:ascii="Arial" w:hAnsi="Arial" w:cs="Arial"/>
                <w:b/>
                <w:bCs/>
                <w:color w:val="FF0000"/>
                <w:sz w:val="17"/>
                <w:szCs w:val="17"/>
              </w:rPr>
              <w:t> </w:t>
            </w:r>
          </w:p>
        </w:tc>
        <w:tc>
          <w:tcPr>
            <w:tcW w:w="673" w:type="pct"/>
            <w:gridSpan w:val="2"/>
            <w:tcBorders>
              <w:top w:val="nil"/>
              <w:left w:val="nil"/>
              <w:bottom w:val="nil"/>
              <w:right w:val="nil"/>
            </w:tcBorders>
            <w:shd w:val="clear" w:color="000000" w:fill="FFFFFF"/>
          </w:tcPr>
          <w:p w:rsidR="006520E3" w:rsidRPr="002D70DA" w:rsidRDefault="006520E3" w:rsidP="00137283">
            <w:pPr>
              <w:rPr>
                <w:rFonts w:ascii="Arial" w:hAnsi="Arial" w:cs="Arial"/>
                <w:b/>
                <w:bCs/>
                <w:color w:val="FF0000"/>
                <w:sz w:val="17"/>
                <w:szCs w:val="17"/>
              </w:rPr>
            </w:pPr>
          </w:p>
        </w:tc>
        <w:tc>
          <w:tcPr>
            <w:tcW w:w="644" w:type="pct"/>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b/>
                <w:bCs/>
                <w:color w:val="FF0000"/>
                <w:sz w:val="17"/>
                <w:szCs w:val="17"/>
              </w:rPr>
            </w:pPr>
            <w:r w:rsidRPr="002D70DA">
              <w:rPr>
                <w:rFonts w:ascii="Arial" w:hAnsi="Arial" w:cs="Arial"/>
                <w:b/>
                <w:bCs/>
                <w:color w:val="FF0000"/>
                <w:sz w:val="17"/>
                <w:szCs w:val="17"/>
              </w:rPr>
              <w:t> </w:t>
            </w:r>
          </w:p>
        </w:tc>
      </w:tr>
    </w:tbl>
    <w:p w:rsidR="006520E3" w:rsidRDefault="006520E3" w:rsidP="006520E3">
      <w:pPr>
        <w:spacing w:before="80" w:line="250" w:lineRule="exact"/>
        <w:jc w:val="both"/>
        <w:rPr>
          <w:rFonts w:ascii="Arial" w:eastAsia="Calibri" w:hAnsi="Arial" w:cs="Arial"/>
          <w:spacing w:val="-1"/>
          <w:sz w:val="17"/>
          <w:szCs w:val="17"/>
        </w:rPr>
      </w:pPr>
    </w:p>
    <w:p w:rsidR="006520E3" w:rsidRPr="007F7800" w:rsidRDefault="006520E3" w:rsidP="006520E3">
      <w:pPr>
        <w:spacing w:before="80" w:line="250" w:lineRule="exact"/>
        <w:ind w:firstLine="709"/>
        <w:jc w:val="both"/>
        <w:rPr>
          <w:rFonts w:ascii="Arial" w:eastAsia="Calibri" w:hAnsi="Arial" w:cs="Arial"/>
          <w:spacing w:val="-1"/>
          <w:sz w:val="17"/>
          <w:szCs w:val="17"/>
        </w:rPr>
      </w:pPr>
      <w:r w:rsidRPr="007F7800">
        <w:rPr>
          <w:rFonts w:ascii="Arial" w:eastAsia="Calibri" w:hAnsi="Arial" w:cs="Arial"/>
          <w:spacing w:val="-1"/>
          <w:sz w:val="17"/>
          <w:szCs w:val="17"/>
        </w:rPr>
        <w:t>Se informa de manera agrupada por cuenta, el rubro d</w:t>
      </w:r>
      <w:r>
        <w:rPr>
          <w:rFonts w:ascii="Arial" w:eastAsia="Calibri" w:hAnsi="Arial" w:cs="Arial"/>
          <w:spacing w:val="-1"/>
          <w:sz w:val="17"/>
          <w:szCs w:val="17"/>
        </w:rPr>
        <w:t xml:space="preserve">e Bienes Muebles, el monto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7F7800">
        <w:rPr>
          <w:rFonts w:ascii="Arial" w:eastAsia="Calibri" w:hAnsi="Arial" w:cs="Arial"/>
          <w:spacing w:val="-1"/>
          <w:sz w:val="17"/>
          <w:szCs w:val="17"/>
        </w:rPr>
        <w:t>:</w:t>
      </w:r>
    </w:p>
    <w:p w:rsidR="006520E3" w:rsidRPr="007F7800"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7F7800">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6520E3" w:rsidRPr="002D70DA" w:rsidTr="00137283">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Mobiliario y Equipo de Administración</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681,618,739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645,176,144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Mobiliario y Equipo Educacional y Recreativo</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88,398,475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102,620,907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Equipo e Instrumental Médico y de Laboratorio</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25,717,522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25,770,827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Vehículos y Equipo de Transporte</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1,228,110,037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1,119,324,981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Equipo de Defensa y Seguridad</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76,200,381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65,257,033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Maquinaria, Otros Equipos y Herramientas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527,040,059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511,655,799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Colecciones, Obras de Arte y Objetos Valiosos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31,777,717 </w:t>
            </w:r>
          </w:p>
        </w:tc>
        <w:tc>
          <w:tcPr>
            <w:tcW w:w="2148" w:type="dxa"/>
            <w:tcBorders>
              <w:top w:val="nil"/>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29,442,051 </w:t>
            </w:r>
          </w:p>
        </w:tc>
      </w:tr>
      <w:tr w:rsidR="006520E3" w:rsidRPr="002D70DA" w:rsidTr="00137283">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6520E3" w:rsidRPr="00893A4D" w:rsidRDefault="006520E3" w:rsidP="00137283">
            <w:pPr>
              <w:rPr>
                <w:rFonts w:ascii="Arial" w:hAnsi="Arial" w:cs="Arial"/>
                <w:sz w:val="17"/>
                <w:szCs w:val="17"/>
              </w:rPr>
            </w:pPr>
            <w:r w:rsidRPr="00893A4D">
              <w:rPr>
                <w:rFonts w:ascii="Arial" w:hAnsi="Arial" w:cs="Arial"/>
                <w:sz w:val="17"/>
                <w:szCs w:val="17"/>
              </w:rPr>
              <w:t>Activos Biológicos</w:t>
            </w:r>
          </w:p>
        </w:tc>
        <w:tc>
          <w:tcPr>
            <w:tcW w:w="2091" w:type="dxa"/>
            <w:tcBorders>
              <w:top w:val="single" w:sz="4" w:space="0" w:color="auto"/>
              <w:left w:val="nil"/>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924,000 </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924,000 </w:t>
            </w:r>
          </w:p>
        </w:tc>
      </w:tr>
      <w:tr w:rsidR="006520E3" w:rsidRPr="004E6CD5" w:rsidTr="00137283">
        <w:trPr>
          <w:trHeight w:val="240"/>
          <w:jc w:val="center"/>
        </w:trPr>
        <w:tc>
          <w:tcPr>
            <w:tcW w:w="4743" w:type="dxa"/>
            <w:tcBorders>
              <w:top w:val="single" w:sz="4" w:space="0" w:color="auto"/>
              <w:right w:val="single" w:sz="4" w:space="0" w:color="auto"/>
            </w:tcBorders>
            <w:shd w:val="clear" w:color="auto" w:fill="auto"/>
            <w:vAlign w:val="center"/>
          </w:tcPr>
          <w:p w:rsidR="006520E3" w:rsidRPr="004E6CD5" w:rsidRDefault="006520E3" w:rsidP="00137283">
            <w:pPr>
              <w:jc w:val="center"/>
              <w:rPr>
                <w:rFonts w:ascii="Arial" w:hAnsi="Arial" w:cs="Arial"/>
                <w:b/>
                <w:bCs/>
                <w:color w:val="000000"/>
                <w:sz w:val="17"/>
                <w:szCs w:val="17"/>
              </w:rPr>
            </w:pPr>
            <w:r w:rsidRPr="004E6CD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2,659,786,929 </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520E3" w:rsidRPr="002737BC"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2,500,171,740 </w:t>
            </w:r>
          </w:p>
        </w:tc>
      </w:tr>
    </w:tbl>
    <w:p w:rsidR="006520E3" w:rsidRDefault="006520E3" w:rsidP="006520E3">
      <w:pPr>
        <w:jc w:val="both"/>
        <w:rPr>
          <w:rFonts w:ascii="Arial" w:eastAsia="Calibri" w:hAnsi="Arial" w:cs="Arial"/>
          <w:spacing w:val="-1"/>
          <w:sz w:val="17"/>
          <w:szCs w:val="17"/>
        </w:rPr>
      </w:pPr>
    </w:p>
    <w:p w:rsidR="006520E3" w:rsidRDefault="006520E3" w:rsidP="006520E3">
      <w:pPr>
        <w:ind w:left="709"/>
        <w:rPr>
          <w:rFonts w:ascii="Arial" w:hAnsi="Arial" w:cs="Arial"/>
          <w:sz w:val="17"/>
          <w:szCs w:val="17"/>
        </w:rPr>
      </w:pPr>
    </w:p>
    <w:p w:rsidR="006520E3" w:rsidRPr="00614E16" w:rsidRDefault="006520E3" w:rsidP="006520E3">
      <w:pPr>
        <w:ind w:left="709"/>
        <w:rPr>
          <w:rFonts w:ascii="Arial" w:hAnsi="Arial" w:cs="Arial"/>
          <w:sz w:val="17"/>
          <w:szCs w:val="17"/>
        </w:rPr>
      </w:pPr>
      <w:r w:rsidRPr="00F41B91">
        <w:rPr>
          <w:rFonts w:ascii="Arial" w:hAnsi="Arial" w:cs="Arial"/>
          <w:sz w:val="17"/>
          <w:szCs w:val="17"/>
        </w:rPr>
        <w:t>El rubro de Bienes Muebles, presenta un incremento del 6% derivado principalmente por bienes adquiridos de Equipos de Transporte, Mobiliario y Equipo de Administración y</w:t>
      </w:r>
      <w:r>
        <w:t xml:space="preserve"> </w:t>
      </w:r>
      <w:r w:rsidRPr="005F7E37">
        <w:rPr>
          <w:rFonts w:ascii="Arial" w:hAnsi="Arial" w:cs="Arial"/>
          <w:sz w:val="17"/>
          <w:szCs w:val="17"/>
        </w:rPr>
        <w:t>Otros Mobiliarios y Equipos de Administración</w:t>
      </w:r>
      <w:r>
        <w:rPr>
          <w:rFonts w:ascii="Arial" w:hAnsi="Arial" w:cs="Arial"/>
          <w:sz w:val="17"/>
          <w:szCs w:val="17"/>
        </w:rPr>
        <w:t>.</w:t>
      </w:r>
    </w:p>
    <w:p w:rsidR="006520E3" w:rsidRDefault="006520E3" w:rsidP="006520E3">
      <w:pPr>
        <w:ind w:left="709"/>
        <w:rPr>
          <w:rFonts w:ascii="Arial" w:eastAsia="Calibri" w:hAnsi="Arial" w:cs="Arial"/>
          <w:spacing w:val="-1"/>
          <w:sz w:val="17"/>
          <w:szCs w:val="17"/>
        </w:rPr>
      </w:pPr>
    </w:p>
    <w:p w:rsidR="006520E3" w:rsidRDefault="006520E3" w:rsidP="006520E3">
      <w:pPr>
        <w:ind w:left="709"/>
        <w:rPr>
          <w:rFonts w:ascii="Arial" w:eastAsia="Calibri" w:hAnsi="Arial" w:cs="Arial"/>
          <w:spacing w:val="-1"/>
          <w:sz w:val="17"/>
          <w:szCs w:val="17"/>
        </w:rPr>
      </w:pPr>
    </w:p>
    <w:p w:rsidR="006520E3" w:rsidRDefault="006520E3" w:rsidP="006520E3">
      <w:pPr>
        <w:ind w:left="709"/>
        <w:rPr>
          <w:rFonts w:ascii="Arial" w:eastAsia="Calibri" w:hAnsi="Arial" w:cs="Arial"/>
          <w:spacing w:val="-1"/>
          <w:sz w:val="17"/>
          <w:szCs w:val="17"/>
        </w:rPr>
      </w:pPr>
    </w:p>
    <w:p w:rsidR="006520E3" w:rsidRDefault="006520E3" w:rsidP="006520E3">
      <w:pPr>
        <w:ind w:left="709"/>
        <w:rPr>
          <w:rFonts w:ascii="Arial" w:eastAsia="Calibri" w:hAnsi="Arial" w:cs="Arial"/>
          <w:spacing w:val="-1"/>
          <w:sz w:val="17"/>
          <w:szCs w:val="17"/>
        </w:rPr>
      </w:pPr>
    </w:p>
    <w:p w:rsidR="006520E3" w:rsidRDefault="006520E3" w:rsidP="006520E3">
      <w:pPr>
        <w:ind w:left="709"/>
        <w:rPr>
          <w:rFonts w:ascii="Arial" w:eastAsia="Calibri" w:hAnsi="Arial" w:cs="Arial"/>
          <w:spacing w:val="-1"/>
          <w:sz w:val="17"/>
          <w:szCs w:val="17"/>
        </w:rPr>
      </w:pPr>
    </w:p>
    <w:p w:rsidR="006520E3" w:rsidRPr="00CF326B" w:rsidRDefault="006520E3" w:rsidP="006520E3">
      <w:pPr>
        <w:ind w:left="709"/>
        <w:rPr>
          <w:rFonts w:ascii="Arial" w:eastAsia="Calibri" w:hAnsi="Arial" w:cs="Arial"/>
          <w:spacing w:val="-1"/>
          <w:sz w:val="17"/>
          <w:szCs w:val="17"/>
        </w:rPr>
      </w:pPr>
    </w:p>
    <w:p w:rsidR="006520E3" w:rsidRDefault="006520E3" w:rsidP="006520E3">
      <w:pPr>
        <w:ind w:left="709"/>
        <w:rPr>
          <w:rFonts w:ascii="Arial" w:hAnsi="Arial" w:cs="Arial"/>
          <w:color w:val="263238"/>
          <w:sz w:val="20"/>
          <w:szCs w:val="20"/>
        </w:rPr>
      </w:pPr>
    </w:p>
    <w:p w:rsidR="006520E3" w:rsidRDefault="006520E3" w:rsidP="006520E3">
      <w:pPr>
        <w:ind w:left="709"/>
        <w:rPr>
          <w:rFonts w:ascii="Arial" w:hAnsi="Arial" w:cs="Arial"/>
          <w:color w:val="263238"/>
          <w:sz w:val="20"/>
          <w:szCs w:val="20"/>
        </w:rPr>
      </w:pPr>
    </w:p>
    <w:p w:rsidR="006520E3" w:rsidRDefault="006520E3" w:rsidP="006520E3">
      <w:pPr>
        <w:ind w:left="709"/>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sidRPr="006377BB">
        <w:rPr>
          <w:rFonts w:ascii="Arial" w:eastAsia="Calibri" w:hAnsi="Arial" w:cs="Arial"/>
          <w:spacing w:val="-1"/>
          <w:sz w:val="17"/>
          <w:szCs w:val="17"/>
        </w:rPr>
        <w:lastRenderedPageBreak/>
        <w:t xml:space="preserve">Se informa de manera agrupada por cuenta, los rubros de bienes muebles, el monto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6377BB">
        <w:rPr>
          <w:rFonts w:ascii="Arial" w:eastAsia="Calibri" w:hAnsi="Arial" w:cs="Arial"/>
          <w:spacing w:val="-1"/>
          <w:sz w:val="17"/>
          <w:szCs w:val="17"/>
        </w:rPr>
        <w:t xml:space="preserve"> de la depreciación del ejercicio y la acumulada, el método de depreciación, tasas aplicadas y los criterios de aplicación de los mismos. Asimismo, se informa de las características significativas del estado en que se encuentran los activos:</w:t>
      </w:r>
    </w:p>
    <w:p w:rsidR="006520E3" w:rsidRDefault="006520E3" w:rsidP="006520E3">
      <w:pPr>
        <w:spacing w:before="80" w:line="250" w:lineRule="exact"/>
        <w:ind w:left="709"/>
        <w:jc w:val="center"/>
        <w:rPr>
          <w:rFonts w:ascii="Arial" w:eastAsia="Calibri" w:hAnsi="Arial" w:cs="Arial"/>
          <w:b/>
          <w:spacing w:val="-1"/>
          <w:sz w:val="17"/>
          <w:szCs w:val="17"/>
        </w:rPr>
      </w:pPr>
    </w:p>
    <w:p w:rsidR="006520E3" w:rsidRDefault="006520E3" w:rsidP="006520E3">
      <w:pPr>
        <w:spacing w:before="80" w:line="250" w:lineRule="exact"/>
        <w:ind w:left="709"/>
        <w:jc w:val="center"/>
        <w:rPr>
          <w:rFonts w:ascii="Arial" w:eastAsia="Calibri" w:hAnsi="Arial" w:cs="Arial"/>
          <w:b/>
          <w:spacing w:val="-1"/>
          <w:sz w:val="17"/>
          <w:szCs w:val="17"/>
        </w:rPr>
      </w:pPr>
      <w:r w:rsidRPr="00077B39">
        <w:rPr>
          <w:rFonts w:ascii="Arial" w:eastAsia="Calibri" w:hAnsi="Arial" w:cs="Arial"/>
          <w:b/>
          <w:spacing w:val="-1"/>
          <w:sz w:val="17"/>
          <w:szCs w:val="17"/>
        </w:rPr>
        <w:t xml:space="preserve"> (Pesos)</w:t>
      </w:r>
    </w:p>
    <w:tbl>
      <w:tblPr>
        <w:tblW w:w="5048" w:type="pct"/>
        <w:jc w:val="center"/>
        <w:tblCellMar>
          <w:left w:w="70" w:type="dxa"/>
          <w:right w:w="70" w:type="dxa"/>
        </w:tblCellMar>
        <w:tblLook w:val="04A0" w:firstRow="1" w:lastRow="0" w:firstColumn="1" w:lastColumn="0" w:noHBand="0" w:noVBand="1"/>
      </w:tblPr>
      <w:tblGrid>
        <w:gridCol w:w="3072"/>
        <w:gridCol w:w="1460"/>
        <w:gridCol w:w="1460"/>
        <w:gridCol w:w="1460"/>
        <w:gridCol w:w="1151"/>
        <w:gridCol w:w="1280"/>
        <w:gridCol w:w="1784"/>
        <w:gridCol w:w="21"/>
        <w:gridCol w:w="1728"/>
      </w:tblGrid>
      <w:tr w:rsidR="006520E3" w:rsidRPr="002D70DA" w:rsidTr="00137283">
        <w:trPr>
          <w:trHeight w:val="299"/>
          <w:jc w:val="center"/>
        </w:trPr>
        <w:tc>
          <w:tcPr>
            <w:tcW w:w="1145" w:type="pct"/>
            <w:vMerge w:val="restart"/>
            <w:tcBorders>
              <w:top w:val="single" w:sz="4" w:space="0" w:color="auto"/>
              <w:left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 de bienes muebles</w:t>
            </w:r>
          </w:p>
        </w:tc>
        <w:tc>
          <w:tcPr>
            <w:tcW w:w="544"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Monto de depreciación del ejercicio</w:t>
            </w:r>
          </w:p>
        </w:tc>
        <w:tc>
          <w:tcPr>
            <w:tcW w:w="544"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Monto de depreciación acumulada</w:t>
            </w:r>
          </w:p>
        </w:tc>
        <w:tc>
          <w:tcPr>
            <w:tcW w:w="544"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Método de depreciación</w:t>
            </w:r>
          </w:p>
        </w:tc>
        <w:tc>
          <w:tcPr>
            <w:tcW w:w="429"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Tasa aplicada</w:t>
            </w:r>
          </w:p>
        </w:tc>
        <w:tc>
          <w:tcPr>
            <w:tcW w:w="477" w:type="pct"/>
            <w:vMerge w:val="restart"/>
            <w:tcBorders>
              <w:top w:val="single" w:sz="4" w:space="0" w:color="auto"/>
              <w:left w:val="nil"/>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Criterio de aplicación</w:t>
            </w:r>
          </w:p>
        </w:tc>
        <w:tc>
          <w:tcPr>
            <w:tcW w:w="1317" w:type="pct"/>
            <w:gridSpan w:val="3"/>
            <w:tcBorders>
              <w:top w:val="single" w:sz="4" w:space="0" w:color="auto"/>
              <w:left w:val="nil"/>
              <w:bottom w:val="single" w:sz="4" w:space="0" w:color="auto"/>
              <w:right w:val="single" w:sz="4" w:space="0" w:color="auto"/>
            </w:tcBorders>
            <w:shd w:val="clear" w:color="auto" w:fill="D5DCE4"/>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Características significativas del estado en que encuentren</w:t>
            </w:r>
          </w:p>
        </w:tc>
      </w:tr>
      <w:tr w:rsidR="006520E3" w:rsidRPr="002D70DA" w:rsidTr="00137283">
        <w:trPr>
          <w:trHeight w:val="1002"/>
          <w:jc w:val="center"/>
        </w:trPr>
        <w:tc>
          <w:tcPr>
            <w:tcW w:w="1145" w:type="pct"/>
            <w:vMerge/>
            <w:tcBorders>
              <w:left w:val="single" w:sz="4" w:space="0" w:color="auto"/>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544"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544"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544"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429"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477" w:type="pct"/>
            <w:vMerge/>
            <w:tcBorders>
              <w:left w:val="nil"/>
              <w:bottom w:val="single" w:sz="4" w:space="0" w:color="auto"/>
              <w:right w:val="single" w:sz="4" w:space="0" w:color="auto"/>
            </w:tcBorders>
            <w:shd w:val="clear" w:color="000000" w:fill="F2F2F2"/>
            <w:vAlign w:val="center"/>
          </w:tcPr>
          <w:p w:rsidR="006520E3" w:rsidRPr="002D70DA" w:rsidRDefault="006520E3" w:rsidP="00137283">
            <w:pPr>
              <w:jc w:val="center"/>
              <w:rPr>
                <w:rFonts w:ascii="Arial" w:hAnsi="Arial" w:cs="Arial"/>
                <w:b/>
                <w:bCs/>
                <w:color w:val="000000"/>
                <w:sz w:val="17"/>
                <w:szCs w:val="17"/>
              </w:rPr>
            </w:pPr>
          </w:p>
        </w:tc>
        <w:tc>
          <w:tcPr>
            <w:tcW w:w="665" w:type="pct"/>
            <w:tcBorders>
              <w:top w:val="single" w:sz="4" w:space="0" w:color="auto"/>
              <w:left w:val="nil"/>
              <w:bottom w:val="single" w:sz="4" w:space="0" w:color="auto"/>
              <w:right w:val="single" w:sz="4" w:space="0" w:color="auto"/>
            </w:tcBorders>
            <w:shd w:val="clear" w:color="000000" w:fill="F2F2F2"/>
          </w:tcPr>
          <w:p w:rsidR="006520E3" w:rsidRPr="002D70DA" w:rsidRDefault="006520E3" w:rsidP="00137283">
            <w:pPr>
              <w:jc w:val="center"/>
              <w:rPr>
                <w:rFonts w:ascii="Arial" w:hAnsi="Arial" w:cs="Arial"/>
                <w:b/>
                <w:bCs/>
                <w:color w:val="000000"/>
                <w:sz w:val="17"/>
                <w:szCs w:val="17"/>
              </w:rPr>
            </w:pPr>
            <w:r w:rsidRPr="00CF62AC">
              <w:rPr>
                <w:rFonts w:ascii="Arial" w:hAnsi="Arial" w:cs="Arial"/>
                <w:b/>
                <w:bCs/>
                <w:color w:val="000000"/>
                <w:sz w:val="17"/>
                <w:szCs w:val="17"/>
              </w:rPr>
              <w:t>Aptos para su uso</w:t>
            </w:r>
          </w:p>
        </w:tc>
        <w:tc>
          <w:tcPr>
            <w:tcW w:w="652" w:type="pct"/>
            <w:gridSpan w:val="2"/>
            <w:tcBorders>
              <w:top w:val="single" w:sz="4" w:space="0" w:color="auto"/>
              <w:left w:val="nil"/>
              <w:bottom w:val="single" w:sz="4" w:space="0" w:color="auto"/>
              <w:right w:val="single" w:sz="4" w:space="0" w:color="auto"/>
            </w:tcBorders>
            <w:shd w:val="clear" w:color="000000" w:fill="F2F2F2"/>
          </w:tcPr>
          <w:p w:rsidR="006520E3" w:rsidRPr="002D70DA" w:rsidRDefault="006520E3" w:rsidP="00137283">
            <w:pPr>
              <w:jc w:val="center"/>
              <w:rPr>
                <w:rFonts w:ascii="Arial" w:hAnsi="Arial" w:cs="Arial"/>
                <w:b/>
                <w:bCs/>
                <w:color w:val="000000"/>
                <w:sz w:val="17"/>
                <w:szCs w:val="17"/>
              </w:rPr>
            </w:pPr>
            <w:r w:rsidRPr="00CF62AC">
              <w:rPr>
                <w:rFonts w:ascii="Arial" w:hAnsi="Arial" w:cs="Arial"/>
                <w:b/>
                <w:bCs/>
                <w:color w:val="000000"/>
                <w:sz w:val="17"/>
                <w:szCs w:val="17"/>
              </w:rPr>
              <w:t>No Aptos o Inservibles</w:t>
            </w:r>
          </w:p>
        </w:tc>
      </w:tr>
      <w:tr w:rsidR="006520E3" w:rsidRPr="00B84F0E" w:rsidTr="00137283">
        <w:trPr>
          <w:trHeight w:val="240"/>
          <w:jc w:val="center"/>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Mobiliario y equipo de administración</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71,421,972 </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199,369,514 </w:t>
            </w:r>
          </w:p>
        </w:tc>
        <w:tc>
          <w:tcPr>
            <w:tcW w:w="544"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10 y 33.3 %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70,244</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7,418</w:t>
            </w:r>
          </w:p>
        </w:tc>
      </w:tr>
      <w:tr w:rsidR="006520E3" w:rsidRPr="00B84F0E" w:rsidTr="00137283">
        <w:trPr>
          <w:trHeight w:val="240"/>
          <w:jc w:val="center"/>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Mobiliario y equipo educacional y recreativo</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8,147,490 </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31,877,289 </w:t>
            </w:r>
          </w:p>
        </w:tc>
        <w:tc>
          <w:tcPr>
            <w:tcW w:w="544"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20 y 33.3 %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 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5,107</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349</w:t>
            </w:r>
          </w:p>
        </w:tc>
      </w:tr>
      <w:tr w:rsidR="006520E3" w:rsidRPr="00B84F0E" w:rsidTr="00137283">
        <w:trPr>
          <w:trHeight w:val="240"/>
          <w:jc w:val="center"/>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Equipo e instrumental médico y de laboratorio</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3,251,751 </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7,237,019 </w:t>
            </w:r>
          </w:p>
        </w:tc>
        <w:tc>
          <w:tcPr>
            <w:tcW w:w="544"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20%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 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739</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30</w:t>
            </w:r>
          </w:p>
        </w:tc>
      </w:tr>
      <w:tr w:rsidR="006520E3" w:rsidRPr="00B84F0E" w:rsidTr="00137283">
        <w:trPr>
          <w:trHeight w:val="240"/>
          <w:jc w:val="center"/>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Equipo de transporte</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105,732,560 </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437,644,515 </w:t>
            </w:r>
          </w:p>
        </w:tc>
        <w:tc>
          <w:tcPr>
            <w:tcW w:w="544"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20%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 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5,748</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850</w:t>
            </w:r>
          </w:p>
        </w:tc>
      </w:tr>
      <w:tr w:rsidR="006520E3" w:rsidRPr="00B84F0E" w:rsidTr="00137283">
        <w:trPr>
          <w:trHeight w:val="240"/>
          <w:jc w:val="center"/>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Equipo de defensa y seguridad</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6,240,250 </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26,390,516 </w:t>
            </w:r>
          </w:p>
        </w:tc>
        <w:tc>
          <w:tcPr>
            <w:tcW w:w="544"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20%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 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5,818</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148</w:t>
            </w:r>
          </w:p>
        </w:tc>
      </w:tr>
      <w:tr w:rsidR="006520E3" w:rsidRPr="00B84F0E" w:rsidTr="00137283">
        <w:trPr>
          <w:trHeight w:val="240"/>
          <w:jc w:val="center"/>
        </w:trPr>
        <w:tc>
          <w:tcPr>
            <w:tcW w:w="1145"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Maquinaria, otros equipos y herramientas</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24,380,432 </w:t>
            </w:r>
          </w:p>
        </w:tc>
        <w:tc>
          <w:tcPr>
            <w:tcW w:w="544"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78,047,286 </w:t>
            </w:r>
          </w:p>
        </w:tc>
        <w:tc>
          <w:tcPr>
            <w:tcW w:w="544"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c>
          <w:tcPr>
            <w:tcW w:w="42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10% anual</w:t>
            </w:r>
          </w:p>
        </w:tc>
        <w:tc>
          <w:tcPr>
            <w:tcW w:w="477" w:type="pct"/>
            <w:tcBorders>
              <w:top w:val="nil"/>
              <w:left w:val="nil"/>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 Emitido por CONAC</w:t>
            </w:r>
          </w:p>
        </w:tc>
        <w:tc>
          <w:tcPr>
            <w:tcW w:w="673" w:type="pct"/>
            <w:gridSpan w:val="2"/>
            <w:tcBorders>
              <w:top w:val="single" w:sz="4" w:space="0" w:color="auto"/>
              <w:left w:val="nil"/>
              <w:bottom w:val="single" w:sz="4" w:space="0" w:color="auto"/>
              <w:right w:val="single" w:sz="4" w:space="0" w:color="auto"/>
            </w:tcBorders>
            <w:shd w:val="clear" w:color="auto" w:fill="auto"/>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12,644</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20E3" w:rsidRPr="00F41B91" w:rsidRDefault="006520E3" w:rsidP="00137283">
            <w:pPr>
              <w:jc w:val="right"/>
              <w:rPr>
                <w:rFonts w:ascii="Arial" w:hAnsi="Arial" w:cs="Arial"/>
                <w:color w:val="000000"/>
                <w:sz w:val="17"/>
                <w:szCs w:val="17"/>
              </w:rPr>
            </w:pPr>
            <w:r w:rsidRPr="00F41B91">
              <w:rPr>
                <w:rFonts w:ascii="Arial" w:hAnsi="Arial" w:cs="Arial"/>
                <w:color w:val="000000"/>
                <w:sz w:val="17"/>
                <w:szCs w:val="17"/>
              </w:rPr>
              <w:t>2457</w:t>
            </w:r>
          </w:p>
        </w:tc>
      </w:tr>
      <w:tr w:rsidR="006520E3" w:rsidRPr="002D70DA" w:rsidTr="00137283">
        <w:trPr>
          <w:trHeight w:val="85"/>
          <w:jc w:val="center"/>
        </w:trPr>
        <w:tc>
          <w:tcPr>
            <w:tcW w:w="1145" w:type="pct"/>
            <w:tcBorders>
              <w:top w:val="nil"/>
              <w:left w:val="nil"/>
              <w:bottom w:val="nil"/>
              <w:right w:val="nil"/>
            </w:tcBorders>
            <w:shd w:val="clear" w:color="000000" w:fill="FFFFFF"/>
            <w:vAlign w:val="center"/>
            <w:hideMark/>
          </w:tcPr>
          <w:p w:rsidR="006520E3" w:rsidRPr="006E25D6" w:rsidRDefault="006520E3" w:rsidP="00137283">
            <w:pPr>
              <w:jc w:val="center"/>
              <w:rPr>
                <w:rFonts w:ascii="Arial" w:hAnsi="Arial" w:cs="Arial"/>
                <w:b/>
                <w:bCs/>
                <w:color w:val="000000"/>
                <w:sz w:val="17"/>
                <w:szCs w:val="17"/>
              </w:rPr>
            </w:pPr>
            <w:r w:rsidRPr="006E25D6">
              <w:rPr>
                <w:rFonts w:ascii="Arial" w:hAnsi="Arial" w:cs="Arial"/>
                <w:b/>
                <w:bCs/>
                <w:color w:val="000000"/>
                <w:sz w:val="17"/>
                <w:szCs w:val="17"/>
              </w:rPr>
              <w:t>Total</w:t>
            </w:r>
          </w:p>
        </w:tc>
        <w:tc>
          <w:tcPr>
            <w:tcW w:w="544" w:type="pct"/>
            <w:tcBorders>
              <w:top w:val="nil"/>
              <w:left w:val="single" w:sz="4" w:space="0" w:color="auto"/>
              <w:bottom w:val="single" w:sz="4" w:space="0" w:color="auto"/>
              <w:right w:val="single" w:sz="4" w:space="0" w:color="auto"/>
            </w:tcBorders>
            <w:shd w:val="clear" w:color="000000" w:fill="FFFFFF"/>
            <w:hideMark/>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219,174,456 </w:t>
            </w:r>
          </w:p>
        </w:tc>
        <w:tc>
          <w:tcPr>
            <w:tcW w:w="544" w:type="pct"/>
            <w:tcBorders>
              <w:top w:val="nil"/>
              <w:left w:val="nil"/>
              <w:bottom w:val="single" w:sz="4" w:space="0" w:color="auto"/>
              <w:right w:val="single" w:sz="4" w:space="0" w:color="auto"/>
            </w:tcBorders>
            <w:shd w:val="clear" w:color="000000" w:fill="FFFFFF"/>
            <w:hideMark/>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780,566,137 </w:t>
            </w:r>
          </w:p>
        </w:tc>
        <w:tc>
          <w:tcPr>
            <w:tcW w:w="544" w:type="pct"/>
            <w:tcBorders>
              <w:top w:val="nil"/>
              <w:left w:val="nil"/>
              <w:bottom w:val="nil"/>
              <w:right w:val="nil"/>
            </w:tcBorders>
            <w:shd w:val="clear" w:color="000000" w:fill="FFFFFF"/>
            <w:noWrap/>
            <w:vAlign w:val="bottom"/>
            <w:hideMark/>
          </w:tcPr>
          <w:p w:rsidR="006520E3" w:rsidRPr="006E25D6" w:rsidRDefault="006520E3" w:rsidP="00137283">
            <w:pPr>
              <w:rPr>
                <w:rFonts w:ascii="Arial" w:hAnsi="Arial" w:cs="Arial"/>
                <w:b/>
                <w:bCs/>
                <w:color w:val="FF0000"/>
                <w:sz w:val="17"/>
                <w:szCs w:val="17"/>
              </w:rPr>
            </w:pPr>
            <w:r w:rsidRPr="006E25D6">
              <w:rPr>
                <w:rFonts w:ascii="Arial" w:hAnsi="Arial" w:cs="Arial"/>
                <w:b/>
                <w:bCs/>
                <w:color w:val="FF0000"/>
                <w:sz w:val="17"/>
                <w:szCs w:val="17"/>
              </w:rPr>
              <w:t> </w:t>
            </w:r>
          </w:p>
        </w:tc>
        <w:tc>
          <w:tcPr>
            <w:tcW w:w="429" w:type="pct"/>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b/>
                <w:bCs/>
                <w:color w:val="FF0000"/>
                <w:sz w:val="17"/>
                <w:szCs w:val="17"/>
              </w:rPr>
            </w:pPr>
            <w:r w:rsidRPr="002D70DA">
              <w:rPr>
                <w:rFonts w:ascii="Arial" w:hAnsi="Arial" w:cs="Arial"/>
                <w:b/>
                <w:bCs/>
                <w:color w:val="FF0000"/>
                <w:sz w:val="17"/>
                <w:szCs w:val="17"/>
              </w:rPr>
              <w:t> </w:t>
            </w:r>
          </w:p>
        </w:tc>
        <w:tc>
          <w:tcPr>
            <w:tcW w:w="477" w:type="pct"/>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b/>
                <w:bCs/>
                <w:color w:val="FF0000"/>
                <w:sz w:val="17"/>
                <w:szCs w:val="17"/>
              </w:rPr>
            </w:pPr>
            <w:r w:rsidRPr="002D70DA">
              <w:rPr>
                <w:rFonts w:ascii="Arial" w:hAnsi="Arial" w:cs="Arial"/>
                <w:b/>
                <w:bCs/>
                <w:color w:val="FF0000"/>
                <w:sz w:val="17"/>
                <w:szCs w:val="17"/>
              </w:rPr>
              <w:t> </w:t>
            </w:r>
          </w:p>
        </w:tc>
        <w:tc>
          <w:tcPr>
            <w:tcW w:w="673" w:type="pct"/>
            <w:gridSpan w:val="2"/>
            <w:tcBorders>
              <w:top w:val="nil"/>
              <w:left w:val="nil"/>
              <w:bottom w:val="nil"/>
              <w:right w:val="nil"/>
            </w:tcBorders>
            <w:shd w:val="clear" w:color="000000" w:fill="FFFFFF"/>
          </w:tcPr>
          <w:p w:rsidR="006520E3" w:rsidRPr="002D70DA" w:rsidRDefault="006520E3" w:rsidP="00137283">
            <w:pPr>
              <w:rPr>
                <w:rFonts w:ascii="Arial" w:hAnsi="Arial" w:cs="Arial"/>
                <w:b/>
                <w:bCs/>
                <w:color w:val="FF0000"/>
                <w:sz w:val="17"/>
                <w:szCs w:val="17"/>
              </w:rPr>
            </w:pPr>
          </w:p>
        </w:tc>
        <w:tc>
          <w:tcPr>
            <w:tcW w:w="644" w:type="pct"/>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b/>
                <w:bCs/>
                <w:color w:val="FF0000"/>
                <w:sz w:val="17"/>
                <w:szCs w:val="17"/>
              </w:rPr>
            </w:pPr>
            <w:r w:rsidRPr="002D70DA">
              <w:rPr>
                <w:rFonts w:ascii="Arial" w:hAnsi="Arial" w:cs="Arial"/>
                <w:b/>
                <w:bCs/>
                <w:color w:val="FF0000"/>
                <w:sz w:val="17"/>
                <w:szCs w:val="17"/>
              </w:rPr>
              <w:t> </w:t>
            </w:r>
          </w:p>
        </w:tc>
      </w:tr>
    </w:tbl>
    <w:p w:rsidR="006520E3" w:rsidRDefault="006520E3" w:rsidP="006520E3">
      <w:pPr>
        <w:spacing w:before="80" w:line="250" w:lineRule="exact"/>
        <w:jc w:val="both"/>
        <w:rPr>
          <w:rFonts w:ascii="Arial" w:eastAsia="Calibri" w:hAnsi="Arial" w:cs="Arial"/>
          <w:spacing w:val="-1"/>
          <w:sz w:val="17"/>
          <w:szCs w:val="17"/>
        </w:rPr>
      </w:pPr>
    </w:p>
    <w:p w:rsidR="006520E3" w:rsidRPr="008918A4" w:rsidRDefault="006520E3" w:rsidP="006520E3">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 xml:space="preserve">Se informa de manera agrupada por cuenta el rubro de </w:t>
      </w:r>
      <w:r>
        <w:rPr>
          <w:rFonts w:ascii="Arial" w:eastAsia="Calibri" w:hAnsi="Arial" w:cs="Arial"/>
          <w:spacing w:val="-1"/>
          <w:sz w:val="17"/>
          <w:szCs w:val="17"/>
        </w:rPr>
        <w:t xml:space="preserve">Activos Intangibles, el monto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8918A4">
        <w:rPr>
          <w:rFonts w:ascii="Arial" w:eastAsia="Calibri" w:hAnsi="Arial" w:cs="Arial"/>
          <w:spacing w:val="-1"/>
          <w:sz w:val="17"/>
          <w:szCs w:val="17"/>
        </w:rPr>
        <w:t>:</w:t>
      </w:r>
    </w:p>
    <w:p w:rsidR="006520E3" w:rsidRPr="005540CE"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6520E3" w:rsidRPr="002D70DA" w:rsidTr="00137283">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08166A" w:rsidRDefault="006520E3" w:rsidP="00137283">
            <w:pPr>
              <w:rPr>
                <w:rFonts w:ascii="Arial" w:hAnsi="Arial" w:cs="Arial"/>
                <w:sz w:val="17"/>
                <w:szCs w:val="17"/>
              </w:rPr>
            </w:pPr>
            <w:r w:rsidRPr="0008166A">
              <w:rPr>
                <w:rFonts w:ascii="Arial" w:hAnsi="Arial" w:cs="Arial"/>
                <w:sz w:val="17"/>
                <w:szCs w:val="17"/>
              </w:rPr>
              <w:t>Software</w:t>
            </w:r>
          </w:p>
        </w:tc>
        <w:tc>
          <w:tcPr>
            <w:tcW w:w="2091"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64,663,601 </w:t>
            </w:r>
          </w:p>
        </w:tc>
        <w:tc>
          <w:tcPr>
            <w:tcW w:w="2148" w:type="dxa"/>
            <w:tcBorders>
              <w:top w:val="nil"/>
              <w:left w:val="single" w:sz="4" w:space="0" w:color="auto"/>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65,068,027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704B95" w:rsidRDefault="006520E3" w:rsidP="00137283">
            <w:pPr>
              <w:rPr>
                <w:rFonts w:ascii="Arial" w:hAnsi="Arial" w:cs="Arial"/>
                <w:sz w:val="17"/>
                <w:szCs w:val="17"/>
              </w:rPr>
            </w:pPr>
            <w:r w:rsidRPr="00704B95">
              <w:rPr>
                <w:rFonts w:ascii="Arial" w:hAnsi="Arial" w:cs="Arial"/>
                <w:sz w:val="17"/>
                <w:szCs w:val="17"/>
              </w:rPr>
              <w:t>Patentes, Marcas y Derechos</w:t>
            </w:r>
          </w:p>
        </w:tc>
        <w:tc>
          <w:tcPr>
            <w:tcW w:w="2091"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125,662 </w:t>
            </w:r>
          </w:p>
        </w:tc>
        <w:tc>
          <w:tcPr>
            <w:tcW w:w="2148" w:type="dxa"/>
            <w:tcBorders>
              <w:top w:val="nil"/>
              <w:left w:val="single" w:sz="4" w:space="0" w:color="auto"/>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125,662 </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08166A" w:rsidRDefault="006520E3" w:rsidP="00137283">
            <w:pPr>
              <w:rPr>
                <w:rFonts w:ascii="Arial" w:hAnsi="Arial" w:cs="Arial"/>
                <w:sz w:val="17"/>
                <w:szCs w:val="17"/>
              </w:rPr>
            </w:pPr>
            <w:r w:rsidRPr="0008166A">
              <w:rPr>
                <w:rFonts w:ascii="Arial" w:hAnsi="Arial" w:cs="Arial"/>
                <w:sz w:val="17"/>
                <w:szCs w:val="17"/>
              </w:rPr>
              <w:t>Licencias</w:t>
            </w:r>
          </w:p>
        </w:tc>
        <w:tc>
          <w:tcPr>
            <w:tcW w:w="2091" w:type="dxa"/>
            <w:tcBorders>
              <w:top w:val="single" w:sz="4" w:space="0" w:color="auto"/>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144,455,811 </w:t>
            </w:r>
          </w:p>
        </w:tc>
        <w:tc>
          <w:tcPr>
            <w:tcW w:w="2148" w:type="dxa"/>
            <w:tcBorders>
              <w:top w:val="nil"/>
              <w:left w:val="single" w:sz="4" w:space="0" w:color="auto"/>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137,734,084 </w:t>
            </w:r>
          </w:p>
        </w:tc>
      </w:tr>
      <w:tr w:rsidR="006520E3" w:rsidRPr="002D70DA" w:rsidTr="00137283">
        <w:trPr>
          <w:trHeight w:val="240"/>
          <w:jc w:val="center"/>
        </w:trPr>
        <w:tc>
          <w:tcPr>
            <w:tcW w:w="4743" w:type="dxa"/>
            <w:tcBorders>
              <w:top w:val="single" w:sz="4" w:space="0" w:color="auto"/>
              <w:right w:val="single" w:sz="4" w:space="0" w:color="auto"/>
            </w:tcBorders>
            <w:shd w:val="clear" w:color="auto" w:fill="auto"/>
            <w:vAlign w:val="center"/>
          </w:tcPr>
          <w:p w:rsidR="006520E3" w:rsidRPr="00F93CE5" w:rsidRDefault="006520E3" w:rsidP="0013728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209,245,074 </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202,927,773 </w:t>
            </w:r>
          </w:p>
        </w:tc>
      </w:tr>
    </w:tbl>
    <w:p w:rsidR="006520E3" w:rsidRDefault="006520E3" w:rsidP="006520E3">
      <w:pPr>
        <w:spacing w:before="80" w:line="250" w:lineRule="exact"/>
        <w:ind w:left="709"/>
        <w:jc w:val="both"/>
        <w:rPr>
          <w:rFonts w:ascii="Arial" w:eastAsia="Calibri" w:hAnsi="Arial" w:cs="Arial"/>
          <w:spacing w:val="-1"/>
          <w:sz w:val="17"/>
          <w:szCs w:val="17"/>
        </w:rPr>
      </w:pPr>
    </w:p>
    <w:p w:rsidR="000E33E4" w:rsidRPr="00083CEE" w:rsidRDefault="000E33E4" w:rsidP="000E33E4">
      <w:pPr>
        <w:spacing w:before="80" w:line="250" w:lineRule="exact"/>
        <w:ind w:left="709"/>
        <w:jc w:val="both"/>
        <w:rPr>
          <w:rFonts w:ascii="Arial" w:eastAsia="Calibri" w:hAnsi="Arial" w:cs="Arial"/>
          <w:spacing w:val="-1"/>
          <w:sz w:val="17"/>
          <w:szCs w:val="17"/>
        </w:rPr>
      </w:pPr>
      <w:r w:rsidRPr="000E33E4">
        <w:rPr>
          <w:rFonts w:ascii="Arial" w:eastAsia="Calibri" w:hAnsi="Arial" w:cs="Arial"/>
          <w:spacing w:val="-1"/>
          <w:sz w:val="17"/>
          <w:szCs w:val="17"/>
        </w:rPr>
        <w:t>El incremento en el saldo en el rubro Activos Intangibles, corresponde a la incorporación de los bienes adquiridos por concepto software y licencias informáticas, por la Secretaria de Seguridad Ciudadana, Secretaría de Desarrollo Urbano y Obras Públicas y la Secretaría de Gobierno.</w:t>
      </w:r>
    </w:p>
    <w:p w:rsidR="006520E3" w:rsidRDefault="006520E3" w:rsidP="006520E3">
      <w:pPr>
        <w:spacing w:before="80" w:line="250" w:lineRule="exact"/>
        <w:jc w:val="both"/>
        <w:rPr>
          <w:rFonts w:ascii="Arial" w:eastAsia="Calibri" w:hAnsi="Arial" w:cs="Arial"/>
          <w:spacing w:val="-1"/>
          <w:sz w:val="17"/>
          <w:szCs w:val="17"/>
        </w:rPr>
      </w:pPr>
    </w:p>
    <w:p w:rsidR="006520E3" w:rsidRDefault="006520E3" w:rsidP="006520E3">
      <w:pPr>
        <w:spacing w:before="80" w:line="250" w:lineRule="exact"/>
        <w:jc w:val="both"/>
        <w:rPr>
          <w:rFonts w:ascii="Arial" w:eastAsia="Calibri" w:hAnsi="Arial" w:cs="Arial"/>
          <w:spacing w:val="-1"/>
          <w:sz w:val="17"/>
          <w:szCs w:val="17"/>
        </w:rPr>
      </w:pPr>
    </w:p>
    <w:p w:rsidR="006520E3" w:rsidRPr="002D70DA"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por cuenta, los rubros de activos intangibles y diferidos, su monto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 de la </w:t>
      </w:r>
      <w:r w:rsidRPr="002D70DA">
        <w:rPr>
          <w:rFonts w:ascii="Arial" w:eastAsia="Calibri" w:hAnsi="Arial" w:cs="Arial"/>
          <w:spacing w:val="-1"/>
          <w:sz w:val="17"/>
          <w:szCs w:val="17"/>
        </w:rPr>
        <w:t>amortización del ejercicio, amortización acumulada, tasa y método aplicados:</w:t>
      </w:r>
    </w:p>
    <w:p w:rsidR="006520E3" w:rsidRPr="002D70DA" w:rsidRDefault="006520E3" w:rsidP="006520E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3806" w:type="pct"/>
        <w:jc w:val="center"/>
        <w:tblCellMar>
          <w:left w:w="70" w:type="dxa"/>
          <w:right w:w="70" w:type="dxa"/>
        </w:tblCellMar>
        <w:tblLook w:val="04A0" w:firstRow="1" w:lastRow="0" w:firstColumn="1" w:lastColumn="0" w:noHBand="0" w:noVBand="1"/>
      </w:tblPr>
      <w:tblGrid>
        <w:gridCol w:w="3644"/>
        <w:gridCol w:w="1619"/>
        <w:gridCol w:w="1618"/>
        <w:gridCol w:w="1618"/>
        <w:gridCol w:w="1616"/>
      </w:tblGrid>
      <w:tr w:rsidR="006520E3" w:rsidRPr="002D70DA" w:rsidTr="00137283">
        <w:trPr>
          <w:trHeight w:val="720"/>
          <w:jc w:val="center"/>
        </w:trPr>
        <w:tc>
          <w:tcPr>
            <w:tcW w:w="1801"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 de activos intangibles</w:t>
            </w:r>
          </w:p>
        </w:tc>
        <w:tc>
          <w:tcPr>
            <w:tcW w:w="800" w:type="pct"/>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Amortización acumulada del ejercicio</w:t>
            </w:r>
          </w:p>
        </w:tc>
        <w:tc>
          <w:tcPr>
            <w:tcW w:w="800" w:type="pct"/>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Amortización acumulada</w:t>
            </w:r>
          </w:p>
        </w:tc>
        <w:tc>
          <w:tcPr>
            <w:tcW w:w="800" w:type="pct"/>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Tasa aplicada</w:t>
            </w:r>
          </w:p>
        </w:tc>
        <w:tc>
          <w:tcPr>
            <w:tcW w:w="799" w:type="pct"/>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Método aplicado</w:t>
            </w:r>
          </w:p>
        </w:tc>
      </w:tr>
      <w:tr w:rsidR="006520E3" w:rsidRPr="006E25D6" w:rsidTr="00137283">
        <w:trPr>
          <w:trHeight w:val="240"/>
          <w:jc w:val="center"/>
        </w:trPr>
        <w:tc>
          <w:tcPr>
            <w:tcW w:w="1801"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Software</w:t>
            </w:r>
          </w:p>
        </w:tc>
        <w:tc>
          <w:tcPr>
            <w:tcW w:w="800"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6,936,308 </w:t>
            </w:r>
          </w:p>
        </w:tc>
        <w:tc>
          <w:tcPr>
            <w:tcW w:w="800"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27,009,664 </w:t>
            </w:r>
          </w:p>
        </w:tc>
        <w:tc>
          <w:tcPr>
            <w:tcW w:w="800"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4% anual</w:t>
            </w:r>
          </w:p>
        </w:tc>
        <w:tc>
          <w:tcPr>
            <w:tcW w:w="79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r>
      <w:tr w:rsidR="006520E3" w:rsidRPr="006E25D6" w:rsidTr="00137283">
        <w:trPr>
          <w:trHeight w:val="240"/>
          <w:jc w:val="center"/>
        </w:trPr>
        <w:tc>
          <w:tcPr>
            <w:tcW w:w="1801"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Patentes, marcas y derechos</w:t>
            </w:r>
          </w:p>
        </w:tc>
        <w:tc>
          <w:tcPr>
            <w:tcW w:w="800"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5,396 </w:t>
            </w:r>
          </w:p>
        </w:tc>
        <w:tc>
          <w:tcPr>
            <w:tcW w:w="800"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29,413 </w:t>
            </w:r>
          </w:p>
        </w:tc>
        <w:tc>
          <w:tcPr>
            <w:tcW w:w="800"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10% anual</w:t>
            </w:r>
          </w:p>
        </w:tc>
        <w:tc>
          <w:tcPr>
            <w:tcW w:w="79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r>
      <w:tr w:rsidR="006520E3" w:rsidRPr="006E25D6" w:rsidTr="00137283">
        <w:trPr>
          <w:trHeight w:val="240"/>
          <w:jc w:val="center"/>
        </w:trPr>
        <w:tc>
          <w:tcPr>
            <w:tcW w:w="1801" w:type="pct"/>
            <w:tcBorders>
              <w:top w:val="nil"/>
              <w:left w:val="single" w:sz="4" w:space="0" w:color="auto"/>
              <w:bottom w:val="single" w:sz="4" w:space="0" w:color="auto"/>
              <w:right w:val="single" w:sz="4" w:space="0" w:color="auto"/>
            </w:tcBorders>
            <w:shd w:val="clear" w:color="auto" w:fill="auto"/>
            <w:vAlign w:val="center"/>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Licencias</w:t>
            </w:r>
          </w:p>
        </w:tc>
        <w:tc>
          <w:tcPr>
            <w:tcW w:w="800"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23,487,593 </w:t>
            </w:r>
          </w:p>
        </w:tc>
        <w:tc>
          <w:tcPr>
            <w:tcW w:w="800" w:type="pct"/>
            <w:tcBorders>
              <w:top w:val="nil"/>
              <w:left w:val="nil"/>
              <w:bottom w:val="single" w:sz="4" w:space="0" w:color="auto"/>
              <w:right w:val="single" w:sz="4" w:space="0" w:color="auto"/>
            </w:tcBorders>
            <w:shd w:val="clear" w:color="auto" w:fill="auto"/>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76,126,381 </w:t>
            </w:r>
          </w:p>
        </w:tc>
        <w:tc>
          <w:tcPr>
            <w:tcW w:w="800"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20% anual</w:t>
            </w:r>
          </w:p>
        </w:tc>
        <w:tc>
          <w:tcPr>
            <w:tcW w:w="799" w:type="pct"/>
            <w:tcBorders>
              <w:top w:val="nil"/>
              <w:left w:val="nil"/>
              <w:bottom w:val="single" w:sz="4" w:space="0" w:color="auto"/>
              <w:right w:val="single" w:sz="4" w:space="0" w:color="auto"/>
            </w:tcBorders>
            <w:shd w:val="clear" w:color="auto" w:fill="auto"/>
            <w:hideMark/>
          </w:tcPr>
          <w:p w:rsidR="006520E3" w:rsidRPr="006E25D6" w:rsidRDefault="006520E3" w:rsidP="00137283">
            <w:pPr>
              <w:rPr>
                <w:rFonts w:ascii="Arial" w:hAnsi="Arial" w:cs="Arial"/>
                <w:sz w:val="17"/>
                <w:szCs w:val="17"/>
              </w:rPr>
            </w:pPr>
            <w:r w:rsidRPr="006E25D6">
              <w:rPr>
                <w:rFonts w:ascii="Arial" w:hAnsi="Arial" w:cs="Arial"/>
                <w:sz w:val="17"/>
                <w:szCs w:val="17"/>
              </w:rPr>
              <w:t>Lineal</w:t>
            </w:r>
          </w:p>
        </w:tc>
      </w:tr>
      <w:tr w:rsidR="006520E3" w:rsidRPr="006E25D6" w:rsidTr="00137283">
        <w:trPr>
          <w:trHeight w:val="240"/>
          <w:jc w:val="center"/>
        </w:trPr>
        <w:tc>
          <w:tcPr>
            <w:tcW w:w="1801" w:type="pct"/>
            <w:tcBorders>
              <w:top w:val="nil"/>
              <w:left w:val="nil"/>
              <w:bottom w:val="nil"/>
              <w:right w:val="nil"/>
            </w:tcBorders>
            <w:shd w:val="clear" w:color="000000" w:fill="FFFFFF"/>
            <w:vAlign w:val="center"/>
            <w:hideMark/>
          </w:tcPr>
          <w:p w:rsidR="006520E3" w:rsidRPr="006E25D6" w:rsidRDefault="006520E3" w:rsidP="00137283">
            <w:pPr>
              <w:jc w:val="center"/>
              <w:rPr>
                <w:rFonts w:ascii="Arial" w:hAnsi="Arial" w:cs="Arial"/>
                <w:b/>
                <w:bCs/>
                <w:color w:val="000000"/>
                <w:sz w:val="17"/>
                <w:szCs w:val="17"/>
              </w:rPr>
            </w:pPr>
            <w:r w:rsidRPr="006E25D6">
              <w:rPr>
                <w:rFonts w:ascii="Arial" w:hAnsi="Arial" w:cs="Arial"/>
                <w:b/>
                <w:bCs/>
                <w:color w:val="000000"/>
                <w:sz w:val="17"/>
                <w:szCs w:val="17"/>
              </w:rPr>
              <w:t>Total</w:t>
            </w:r>
          </w:p>
        </w:tc>
        <w:tc>
          <w:tcPr>
            <w:tcW w:w="800" w:type="pct"/>
            <w:tcBorders>
              <w:top w:val="nil"/>
              <w:left w:val="single" w:sz="4" w:space="0" w:color="auto"/>
              <w:bottom w:val="single" w:sz="4" w:space="0" w:color="auto"/>
              <w:right w:val="single" w:sz="4" w:space="0" w:color="auto"/>
            </w:tcBorders>
            <w:shd w:val="clear" w:color="000000" w:fill="FFFFFF"/>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30,429,297 </w:t>
            </w:r>
          </w:p>
        </w:tc>
        <w:tc>
          <w:tcPr>
            <w:tcW w:w="800" w:type="pct"/>
            <w:tcBorders>
              <w:top w:val="nil"/>
              <w:left w:val="nil"/>
              <w:bottom w:val="single" w:sz="4" w:space="0" w:color="auto"/>
              <w:right w:val="single" w:sz="4" w:space="0" w:color="auto"/>
            </w:tcBorders>
            <w:shd w:val="clear" w:color="000000" w:fill="FFFFFF"/>
          </w:tcPr>
          <w:p w:rsidR="006520E3" w:rsidRPr="00211D5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103,165,459 </w:t>
            </w:r>
          </w:p>
        </w:tc>
        <w:tc>
          <w:tcPr>
            <w:tcW w:w="800" w:type="pct"/>
            <w:tcBorders>
              <w:top w:val="nil"/>
              <w:left w:val="nil"/>
              <w:bottom w:val="nil"/>
              <w:right w:val="nil"/>
            </w:tcBorders>
            <w:shd w:val="clear" w:color="000000" w:fill="FFFFFF"/>
            <w:noWrap/>
            <w:vAlign w:val="bottom"/>
            <w:hideMark/>
          </w:tcPr>
          <w:p w:rsidR="006520E3" w:rsidRPr="006E25D6" w:rsidRDefault="006520E3" w:rsidP="00137283">
            <w:pPr>
              <w:rPr>
                <w:rFonts w:ascii="Arial" w:hAnsi="Arial" w:cs="Arial"/>
                <w:b/>
                <w:bCs/>
                <w:color w:val="FF0000"/>
                <w:sz w:val="17"/>
                <w:szCs w:val="17"/>
              </w:rPr>
            </w:pPr>
            <w:r w:rsidRPr="006E25D6">
              <w:rPr>
                <w:rFonts w:ascii="Arial" w:hAnsi="Arial" w:cs="Arial"/>
                <w:b/>
                <w:bCs/>
                <w:color w:val="FF0000"/>
                <w:sz w:val="17"/>
                <w:szCs w:val="17"/>
              </w:rPr>
              <w:t> </w:t>
            </w:r>
          </w:p>
        </w:tc>
        <w:tc>
          <w:tcPr>
            <w:tcW w:w="799" w:type="pct"/>
            <w:tcBorders>
              <w:top w:val="nil"/>
              <w:left w:val="nil"/>
              <w:bottom w:val="nil"/>
              <w:right w:val="nil"/>
            </w:tcBorders>
            <w:shd w:val="clear" w:color="000000" w:fill="FFFFFF"/>
            <w:noWrap/>
            <w:vAlign w:val="bottom"/>
            <w:hideMark/>
          </w:tcPr>
          <w:p w:rsidR="006520E3" w:rsidRPr="006E25D6" w:rsidRDefault="006520E3" w:rsidP="00137283">
            <w:pPr>
              <w:rPr>
                <w:rFonts w:ascii="Arial" w:hAnsi="Arial" w:cs="Arial"/>
                <w:color w:val="000000"/>
                <w:sz w:val="17"/>
                <w:szCs w:val="17"/>
              </w:rPr>
            </w:pPr>
            <w:r w:rsidRPr="006E25D6">
              <w:rPr>
                <w:rFonts w:ascii="Arial" w:hAnsi="Arial" w:cs="Arial"/>
                <w:color w:val="000000"/>
                <w:sz w:val="17"/>
                <w:szCs w:val="17"/>
              </w:rPr>
              <w:t>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Pr="00E41AC4" w:rsidRDefault="006520E3" w:rsidP="007F12CF">
      <w:pPr>
        <w:spacing w:before="80" w:line="250" w:lineRule="exact"/>
        <w:ind w:left="1416" w:hanging="702"/>
        <w:jc w:val="both"/>
        <w:rPr>
          <w:rFonts w:ascii="Arial" w:eastAsia="Calibri" w:hAnsi="Arial" w:cs="Arial"/>
          <w:spacing w:val="-1"/>
          <w:sz w:val="17"/>
          <w:szCs w:val="17"/>
        </w:rPr>
      </w:pPr>
      <w:r w:rsidRPr="00F41B91">
        <w:rPr>
          <w:rFonts w:ascii="Arial" w:eastAsia="Calibri" w:hAnsi="Arial" w:cs="Arial"/>
          <w:spacing w:val="-1"/>
          <w:sz w:val="17"/>
          <w:szCs w:val="17"/>
        </w:rPr>
        <w:t xml:space="preserve">Se informa el saldo de la cuenta Deterioro Acumulado de Activos Biológicos al 31 de </w:t>
      </w:r>
      <w:r w:rsidR="0050443D">
        <w:rPr>
          <w:rFonts w:ascii="Arial" w:eastAsia="Calibri" w:hAnsi="Arial" w:cs="Arial"/>
          <w:spacing w:val="-1"/>
          <w:sz w:val="17"/>
          <w:szCs w:val="17"/>
        </w:rPr>
        <w:t>Diciembre</w:t>
      </w:r>
      <w:r w:rsidRPr="00F41B91">
        <w:rPr>
          <w:rFonts w:ascii="Arial" w:eastAsia="Calibri" w:hAnsi="Arial" w:cs="Arial"/>
          <w:spacing w:val="-1"/>
          <w:sz w:val="17"/>
          <w:szCs w:val="17"/>
        </w:rPr>
        <w:t xml:space="preserve"> del 2019, es de 247,93</w:t>
      </w:r>
      <w:r>
        <w:rPr>
          <w:rFonts w:ascii="Arial" w:eastAsia="Calibri" w:hAnsi="Arial" w:cs="Arial"/>
          <w:spacing w:val="-1"/>
          <w:sz w:val="17"/>
          <w:szCs w:val="17"/>
        </w:rPr>
        <w:t>1.</w:t>
      </w:r>
    </w:p>
    <w:p w:rsidR="006520E3" w:rsidRDefault="006520E3" w:rsidP="007F12CF">
      <w:pPr>
        <w:spacing w:before="80" w:line="250" w:lineRule="exact"/>
        <w:ind w:left="714"/>
        <w:jc w:val="both"/>
        <w:rPr>
          <w:rFonts w:ascii="Arial" w:eastAsia="Calibri" w:hAnsi="Arial" w:cs="Arial"/>
          <w:spacing w:val="-1"/>
          <w:sz w:val="17"/>
          <w:szCs w:val="17"/>
        </w:rPr>
      </w:pPr>
    </w:p>
    <w:p w:rsidR="006520E3" w:rsidRPr="002D70DA" w:rsidRDefault="006520E3" w:rsidP="006520E3">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Estimaciones y deterioros</w:t>
      </w:r>
    </w:p>
    <w:p w:rsidR="006520E3" w:rsidRDefault="006520E3" w:rsidP="006520E3">
      <w:pPr>
        <w:spacing w:before="80" w:line="250" w:lineRule="exact"/>
        <w:ind w:left="709"/>
        <w:jc w:val="both"/>
        <w:rPr>
          <w:rFonts w:ascii="Arial" w:eastAsia="Calibri" w:hAnsi="Arial" w:cs="Arial"/>
          <w:spacing w:val="-1"/>
          <w:sz w:val="17"/>
          <w:szCs w:val="17"/>
        </w:rPr>
      </w:pPr>
      <w:r w:rsidRPr="00F41B91">
        <w:rPr>
          <w:rFonts w:ascii="Arial" w:eastAsia="Calibri" w:hAnsi="Arial" w:cs="Arial"/>
          <w:spacing w:val="-1"/>
          <w:sz w:val="17"/>
          <w:szCs w:val="17"/>
        </w:rPr>
        <w:t xml:space="preserve">Se informa que al cierre del mes de </w:t>
      </w:r>
      <w:r w:rsidR="0050443D">
        <w:rPr>
          <w:rFonts w:ascii="Arial" w:eastAsia="Calibri" w:hAnsi="Arial" w:cs="Arial"/>
          <w:spacing w:val="-1"/>
          <w:sz w:val="17"/>
          <w:szCs w:val="17"/>
        </w:rPr>
        <w:t>Diciembre</w:t>
      </w:r>
      <w:r w:rsidRPr="00F41B91">
        <w:rPr>
          <w:rFonts w:ascii="Arial" w:eastAsia="Calibri" w:hAnsi="Arial" w:cs="Arial"/>
          <w:spacing w:val="-1"/>
          <w:sz w:val="17"/>
          <w:szCs w:val="17"/>
        </w:rPr>
        <w:t xml:space="preserve"> del 2019, el saldo del rubro Estimación por Pérdida o Deterioro de Activos no Circulantes es de 0.00.</w:t>
      </w:r>
    </w:p>
    <w:p w:rsidR="006520E3" w:rsidRDefault="006520E3" w:rsidP="006520E3">
      <w:pPr>
        <w:rPr>
          <w:rFonts w:ascii="Arial" w:eastAsia="Calibri" w:hAnsi="Arial" w:cs="Arial"/>
          <w:b/>
          <w:spacing w:val="-1"/>
          <w:sz w:val="17"/>
          <w:szCs w:val="17"/>
        </w:rPr>
      </w:pPr>
    </w:p>
    <w:p w:rsidR="006520E3" w:rsidRPr="008268CC" w:rsidRDefault="006520E3" w:rsidP="006520E3">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ED2730">
        <w:rPr>
          <w:rFonts w:ascii="Arial" w:eastAsia="Calibri" w:hAnsi="Arial" w:cs="Arial"/>
          <w:b/>
          <w:spacing w:val="-1"/>
          <w:sz w:val="17"/>
          <w:szCs w:val="17"/>
        </w:rPr>
        <w:t>Otros Activos no Circulantes</w:t>
      </w:r>
    </w:p>
    <w:p w:rsidR="006520E3" w:rsidRPr="00ED2730" w:rsidRDefault="006520E3" w:rsidP="006520E3">
      <w:pPr>
        <w:pStyle w:val="Prrafodelista"/>
        <w:spacing w:before="80" w:line="250" w:lineRule="exact"/>
        <w:ind w:left="714"/>
        <w:contextualSpacing w:val="0"/>
        <w:jc w:val="both"/>
        <w:rPr>
          <w:rFonts w:ascii="Arial" w:eastAsia="Calibri" w:hAnsi="Arial" w:cs="Arial"/>
          <w:spacing w:val="-1"/>
          <w:sz w:val="17"/>
          <w:szCs w:val="17"/>
        </w:rPr>
      </w:pPr>
    </w:p>
    <w:p w:rsidR="000E33E4" w:rsidRPr="000E33E4" w:rsidRDefault="000E33E4" w:rsidP="000E33E4">
      <w:pPr>
        <w:ind w:left="709"/>
        <w:jc w:val="both"/>
        <w:rPr>
          <w:rFonts w:ascii="Arial" w:hAnsi="Arial" w:cs="Arial"/>
          <w:sz w:val="17"/>
          <w:szCs w:val="17"/>
        </w:rPr>
      </w:pPr>
      <w:r w:rsidRPr="000E33E4">
        <w:rPr>
          <w:rFonts w:ascii="Arial" w:hAnsi="Arial" w:cs="Arial"/>
          <w:sz w:val="17"/>
          <w:szCs w:val="17"/>
        </w:rPr>
        <w:t xml:space="preserve">El incremento en el concepto de Otros Bienes Inmuebles (bienes en comodato) se debe principalmente a la reclasificación de bienes que anteriormente se tenían registrados en la cuenta Edificios no Habitacionales solicitada por la Dirección de Control Patrimonial. </w:t>
      </w:r>
    </w:p>
    <w:p w:rsidR="000E33E4" w:rsidRPr="000E33E4" w:rsidRDefault="000E33E4" w:rsidP="000E33E4">
      <w:pPr>
        <w:ind w:left="709"/>
        <w:jc w:val="both"/>
        <w:rPr>
          <w:rFonts w:ascii="Arial" w:hAnsi="Arial" w:cs="Arial"/>
          <w:sz w:val="17"/>
          <w:szCs w:val="17"/>
        </w:rPr>
      </w:pPr>
    </w:p>
    <w:p w:rsidR="000E33E4" w:rsidRPr="000E33E4" w:rsidRDefault="000E33E4" w:rsidP="000E33E4">
      <w:pPr>
        <w:ind w:left="709"/>
        <w:jc w:val="both"/>
        <w:rPr>
          <w:rFonts w:ascii="Arial" w:hAnsi="Arial" w:cs="Arial"/>
          <w:sz w:val="17"/>
          <w:szCs w:val="17"/>
        </w:rPr>
      </w:pPr>
      <w:r w:rsidRPr="000E33E4">
        <w:rPr>
          <w:rFonts w:ascii="Arial" w:hAnsi="Arial" w:cs="Arial"/>
          <w:sz w:val="17"/>
          <w:szCs w:val="17"/>
        </w:rPr>
        <w:t xml:space="preserve">Destacan el siguiente bien inmueble: </w:t>
      </w:r>
    </w:p>
    <w:p w:rsidR="000E33E4" w:rsidRPr="000E33E4" w:rsidRDefault="000E33E4" w:rsidP="000E33E4">
      <w:pPr>
        <w:ind w:left="709"/>
        <w:jc w:val="both"/>
        <w:rPr>
          <w:rFonts w:ascii="Arial" w:hAnsi="Arial" w:cs="Arial"/>
          <w:sz w:val="17"/>
          <w:szCs w:val="17"/>
        </w:rPr>
      </w:pPr>
    </w:p>
    <w:p w:rsidR="000E33E4" w:rsidRPr="000E33E4" w:rsidRDefault="000E33E4" w:rsidP="000E33E4">
      <w:pPr>
        <w:pStyle w:val="Prrafodelista"/>
        <w:numPr>
          <w:ilvl w:val="0"/>
          <w:numId w:val="32"/>
        </w:numPr>
        <w:spacing w:after="160" w:line="259" w:lineRule="auto"/>
        <w:ind w:left="1429"/>
        <w:jc w:val="both"/>
        <w:rPr>
          <w:rFonts w:ascii="Arial" w:hAnsi="Arial" w:cs="Arial"/>
          <w:color w:val="000000" w:themeColor="text1"/>
          <w:sz w:val="17"/>
          <w:szCs w:val="17"/>
        </w:rPr>
      </w:pPr>
      <w:r w:rsidRPr="000E33E4">
        <w:rPr>
          <w:rFonts w:ascii="Arial" w:hAnsi="Arial" w:cs="Arial"/>
          <w:sz w:val="17"/>
          <w:szCs w:val="17"/>
        </w:rPr>
        <w:t>Municipio de Querétaro, Unidad Deportiva Querétaro 2000, por un importe de 4</w:t>
      </w:r>
      <w:proofErr w:type="gramStart"/>
      <w:r w:rsidRPr="000E33E4">
        <w:rPr>
          <w:rFonts w:ascii="Arial" w:hAnsi="Arial" w:cs="Arial"/>
          <w:sz w:val="17"/>
          <w:szCs w:val="17"/>
        </w:rPr>
        <w:t>,410,735,848</w:t>
      </w:r>
      <w:proofErr w:type="gramEnd"/>
      <w:r w:rsidRPr="000E33E4">
        <w:rPr>
          <w:rFonts w:ascii="Arial" w:hAnsi="Arial" w:cs="Arial"/>
          <w:sz w:val="17"/>
          <w:szCs w:val="17"/>
        </w:rPr>
        <w:t>.</w:t>
      </w:r>
    </w:p>
    <w:p w:rsidR="006520E3" w:rsidRDefault="006520E3" w:rsidP="006520E3">
      <w:pPr>
        <w:autoSpaceDE w:val="0"/>
        <w:autoSpaceDN w:val="0"/>
        <w:adjustRightInd w:val="0"/>
        <w:spacing w:before="240" w:after="120"/>
        <w:jc w:val="both"/>
        <w:rPr>
          <w:rFonts w:ascii="Arial" w:hAnsi="Arial" w:cs="Arial"/>
          <w:b/>
          <w:sz w:val="17"/>
          <w:szCs w:val="17"/>
        </w:rPr>
      </w:pPr>
    </w:p>
    <w:p w:rsidR="006520E3" w:rsidRDefault="006520E3" w:rsidP="006520E3">
      <w:pPr>
        <w:autoSpaceDE w:val="0"/>
        <w:autoSpaceDN w:val="0"/>
        <w:adjustRightInd w:val="0"/>
        <w:spacing w:before="240" w:after="120"/>
        <w:jc w:val="both"/>
        <w:rPr>
          <w:rFonts w:ascii="Arial" w:hAnsi="Arial" w:cs="Arial"/>
          <w:b/>
          <w:sz w:val="17"/>
          <w:szCs w:val="17"/>
        </w:rPr>
      </w:pPr>
    </w:p>
    <w:p w:rsidR="006520E3" w:rsidRDefault="006520E3" w:rsidP="006520E3">
      <w:pPr>
        <w:autoSpaceDE w:val="0"/>
        <w:autoSpaceDN w:val="0"/>
        <w:adjustRightInd w:val="0"/>
        <w:spacing w:before="240" w:after="120"/>
        <w:jc w:val="both"/>
        <w:rPr>
          <w:rFonts w:ascii="Arial" w:hAnsi="Arial" w:cs="Arial"/>
          <w:b/>
          <w:sz w:val="17"/>
          <w:szCs w:val="17"/>
        </w:rPr>
      </w:pPr>
    </w:p>
    <w:p w:rsidR="006520E3" w:rsidRDefault="006520E3" w:rsidP="006520E3">
      <w:pPr>
        <w:autoSpaceDE w:val="0"/>
        <w:autoSpaceDN w:val="0"/>
        <w:adjustRightInd w:val="0"/>
        <w:spacing w:before="240" w:after="120"/>
        <w:jc w:val="both"/>
        <w:rPr>
          <w:rFonts w:ascii="Arial" w:hAnsi="Arial" w:cs="Arial"/>
          <w:b/>
          <w:sz w:val="17"/>
          <w:szCs w:val="17"/>
        </w:rPr>
      </w:pPr>
    </w:p>
    <w:p w:rsidR="006520E3" w:rsidRDefault="006520E3" w:rsidP="006520E3">
      <w:pPr>
        <w:autoSpaceDE w:val="0"/>
        <w:autoSpaceDN w:val="0"/>
        <w:adjustRightInd w:val="0"/>
        <w:spacing w:before="240" w:after="120"/>
        <w:jc w:val="both"/>
        <w:rPr>
          <w:rFonts w:ascii="Arial" w:hAnsi="Arial" w:cs="Arial"/>
          <w:b/>
          <w:sz w:val="17"/>
          <w:szCs w:val="17"/>
        </w:rPr>
      </w:pPr>
    </w:p>
    <w:p w:rsidR="006520E3" w:rsidRPr="002D70DA" w:rsidRDefault="006520E3" w:rsidP="006520E3">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lastRenderedPageBreak/>
        <w:t>Pasivo</w:t>
      </w:r>
      <w:r w:rsidRPr="002D70DA">
        <w:rPr>
          <w:rStyle w:val="Refdenotaalpie"/>
          <w:rFonts w:ascii="Arial" w:hAnsi="Arial" w:cs="Arial"/>
          <w:b/>
          <w:sz w:val="17"/>
          <w:szCs w:val="17"/>
        </w:rPr>
        <w:footnoteReference w:id="1"/>
      </w:r>
    </w:p>
    <w:p w:rsidR="006520E3" w:rsidRPr="008918A4" w:rsidRDefault="006520E3" w:rsidP="006520E3">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Pr>
          <w:rFonts w:ascii="Arial" w:eastAsia="Calibri" w:hAnsi="Arial" w:cs="Arial"/>
          <w:spacing w:val="-1"/>
          <w:sz w:val="17"/>
          <w:szCs w:val="17"/>
        </w:rPr>
        <w:t xml:space="preserve"> el monto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 d</w:t>
      </w:r>
      <w:r w:rsidRPr="008918A4">
        <w:rPr>
          <w:rFonts w:ascii="Arial" w:eastAsia="Calibri" w:hAnsi="Arial" w:cs="Arial"/>
          <w:spacing w:val="-1"/>
          <w:sz w:val="17"/>
          <w:szCs w:val="17"/>
        </w:rPr>
        <w:t xml:space="preserve">el rubro de </w:t>
      </w:r>
      <w:r w:rsidRPr="00A05A53">
        <w:rPr>
          <w:rFonts w:ascii="Arial" w:eastAsia="Calibri" w:hAnsi="Arial" w:cs="Arial"/>
          <w:spacing w:val="-1"/>
          <w:sz w:val="17"/>
          <w:szCs w:val="17"/>
        </w:rPr>
        <w:t>Cuentas por Pagar a Corto Plazo</w:t>
      </w:r>
      <w:r>
        <w:rPr>
          <w:rFonts w:ascii="Arial" w:eastAsia="Calibri" w:hAnsi="Arial" w:cs="Arial"/>
          <w:spacing w:val="-1"/>
          <w:sz w:val="17"/>
          <w:szCs w:val="17"/>
        </w:rPr>
        <w:t>:</w:t>
      </w:r>
    </w:p>
    <w:p w:rsidR="006520E3" w:rsidRPr="005540CE"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11073" w:type="dxa"/>
        <w:jc w:val="center"/>
        <w:tblCellMar>
          <w:left w:w="70" w:type="dxa"/>
          <w:right w:w="70" w:type="dxa"/>
        </w:tblCellMar>
        <w:tblLook w:val="04A0" w:firstRow="1" w:lastRow="0" w:firstColumn="1" w:lastColumn="0" w:noHBand="0" w:noVBand="1"/>
      </w:tblPr>
      <w:tblGrid>
        <w:gridCol w:w="6096"/>
        <w:gridCol w:w="2551"/>
        <w:gridCol w:w="2426"/>
      </w:tblGrid>
      <w:tr w:rsidR="006520E3" w:rsidRPr="002D70DA" w:rsidTr="00137283">
        <w:trPr>
          <w:trHeight w:val="480"/>
          <w:jc w:val="center"/>
        </w:trPr>
        <w:tc>
          <w:tcPr>
            <w:tcW w:w="609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551" w:type="dxa"/>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42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6096" w:type="dxa"/>
            <w:tcBorders>
              <w:top w:val="nil"/>
              <w:left w:val="single" w:sz="4" w:space="0" w:color="auto"/>
              <w:bottom w:val="single" w:sz="4" w:space="0" w:color="auto"/>
              <w:right w:val="single" w:sz="4" w:space="0" w:color="auto"/>
            </w:tcBorders>
            <w:shd w:val="clear" w:color="auto" w:fill="auto"/>
          </w:tcPr>
          <w:p w:rsidR="006520E3" w:rsidRPr="00A05A53" w:rsidRDefault="006520E3" w:rsidP="00137283">
            <w:pPr>
              <w:rPr>
                <w:rFonts w:ascii="Arial" w:hAnsi="Arial" w:cs="Arial"/>
                <w:sz w:val="17"/>
                <w:szCs w:val="17"/>
              </w:rPr>
            </w:pPr>
            <w:r w:rsidRPr="00A05A53">
              <w:rPr>
                <w:rFonts w:ascii="Arial" w:hAnsi="Arial" w:cs="Arial"/>
                <w:sz w:val="17"/>
                <w:szCs w:val="17"/>
              </w:rPr>
              <w:t>Servicios Personales por Pagar a Corto Plazo</w:t>
            </w:r>
          </w:p>
        </w:tc>
        <w:tc>
          <w:tcPr>
            <w:tcW w:w="2551" w:type="dxa"/>
            <w:tcBorders>
              <w:top w:val="single" w:sz="4" w:space="0" w:color="auto"/>
              <w:left w:val="nil"/>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426" w:type="dxa"/>
            <w:tcBorders>
              <w:top w:val="nil"/>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r>
      <w:tr w:rsidR="006520E3" w:rsidRPr="002D70DA" w:rsidTr="00137283">
        <w:trPr>
          <w:trHeight w:val="240"/>
          <w:jc w:val="center"/>
        </w:trPr>
        <w:tc>
          <w:tcPr>
            <w:tcW w:w="6096" w:type="dxa"/>
            <w:tcBorders>
              <w:top w:val="nil"/>
              <w:left w:val="single" w:sz="4" w:space="0" w:color="auto"/>
              <w:bottom w:val="single" w:sz="4" w:space="0" w:color="auto"/>
              <w:right w:val="single" w:sz="4" w:space="0" w:color="auto"/>
            </w:tcBorders>
            <w:shd w:val="clear" w:color="auto" w:fill="auto"/>
          </w:tcPr>
          <w:p w:rsidR="006520E3" w:rsidRPr="00A05A53" w:rsidRDefault="006520E3" w:rsidP="00137283">
            <w:pPr>
              <w:rPr>
                <w:rFonts w:ascii="Arial" w:hAnsi="Arial" w:cs="Arial"/>
                <w:sz w:val="17"/>
                <w:szCs w:val="17"/>
              </w:rPr>
            </w:pPr>
            <w:r w:rsidRPr="00A05A53">
              <w:rPr>
                <w:rFonts w:ascii="Arial" w:hAnsi="Arial" w:cs="Arial"/>
                <w:sz w:val="17"/>
                <w:szCs w:val="17"/>
              </w:rPr>
              <w:t>Proveedores por Pagar a Corto Plazo</w:t>
            </w:r>
          </w:p>
        </w:tc>
        <w:tc>
          <w:tcPr>
            <w:tcW w:w="2551" w:type="dxa"/>
            <w:tcBorders>
              <w:top w:val="single" w:sz="4" w:space="0" w:color="auto"/>
              <w:left w:val="nil"/>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3,019,230 </w:t>
            </w:r>
          </w:p>
        </w:tc>
        <w:tc>
          <w:tcPr>
            <w:tcW w:w="2426" w:type="dxa"/>
            <w:tcBorders>
              <w:top w:val="nil"/>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11,795,777 </w:t>
            </w:r>
          </w:p>
        </w:tc>
      </w:tr>
      <w:tr w:rsidR="006520E3" w:rsidRPr="002D70DA" w:rsidTr="00137283">
        <w:trPr>
          <w:trHeight w:val="240"/>
          <w:jc w:val="center"/>
        </w:trPr>
        <w:tc>
          <w:tcPr>
            <w:tcW w:w="6096" w:type="dxa"/>
            <w:tcBorders>
              <w:top w:val="nil"/>
              <w:left w:val="single" w:sz="4" w:space="0" w:color="auto"/>
              <w:bottom w:val="single" w:sz="4" w:space="0" w:color="auto"/>
              <w:right w:val="single" w:sz="4" w:space="0" w:color="auto"/>
            </w:tcBorders>
            <w:shd w:val="clear" w:color="auto" w:fill="auto"/>
          </w:tcPr>
          <w:p w:rsidR="006520E3" w:rsidRPr="00A05A53" w:rsidRDefault="006520E3" w:rsidP="00137283">
            <w:pPr>
              <w:rPr>
                <w:rFonts w:ascii="Arial" w:hAnsi="Arial" w:cs="Arial"/>
                <w:sz w:val="17"/>
                <w:szCs w:val="17"/>
              </w:rPr>
            </w:pPr>
            <w:r w:rsidRPr="00A05A53">
              <w:rPr>
                <w:rFonts w:ascii="Arial" w:hAnsi="Arial" w:cs="Arial"/>
                <w:sz w:val="17"/>
                <w:szCs w:val="17"/>
              </w:rPr>
              <w:t>Participaciones y Aportaciones por Pagar a Corto Plazo</w:t>
            </w:r>
          </w:p>
        </w:tc>
        <w:tc>
          <w:tcPr>
            <w:tcW w:w="2551" w:type="dxa"/>
            <w:tcBorders>
              <w:top w:val="single" w:sz="4" w:space="0" w:color="auto"/>
              <w:left w:val="nil"/>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426" w:type="dxa"/>
            <w:tcBorders>
              <w:top w:val="nil"/>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4,422,288 </w:t>
            </w:r>
          </w:p>
        </w:tc>
      </w:tr>
      <w:tr w:rsidR="006520E3" w:rsidRPr="002D70DA" w:rsidTr="00137283">
        <w:trPr>
          <w:trHeight w:val="240"/>
          <w:jc w:val="center"/>
        </w:trPr>
        <w:tc>
          <w:tcPr>
            <w:tcW w:w="6096" w:type="dxa"/>
            <w:tcBorders>
              <w:top w:val="nil"/>
              <w:left w:val="single" w:sz="4" w:space="0" w:color="auto"/>
              <w:bottom w:val="single" w:sz="4" w:space="0" w:color="auto"/>
              <w:right w:val="single" w:sz="4" w:space="0" w:color="auto"/>
            </w:tcBorders>
            <w:shd w:val="clear" w:color="auto" w:fill="auto"/>
          </w:tcPr>
          <w:p w:rsidR="006520E3" w:rsidRPr="00A05A53" w:rsidRDefault="006520E3" w:rsidP="00137283">
            <w:pPr>
              <w:rPr>
                <w:rFonts w:ascii="Arial" w:hAnsi="Arial" w:cs="Arial"/>
                <w:sz w:val="17"/>
                <w:szCs w:val="17"/>
              </w:rPr>
            </w:pPr>
            <w:r w:rsidRPr="00A05A53">
              <w:rPr>
                <w:rFonts w:ascii="Arial" w:hAnsi="Arial" w:cs="Arial"/>
                <w:sz w:val="17"/>
                <w:szCs w:val="17"/>
              </w:rPr>
              <w:t>Retenciones y Contribuciones por Pagar a Corto Plazo</w:t>
            </w:r>
          </w:p>
        </w:tc>
        <w:tc>
          <w:tcPr>
            <w:tcW w:w="2551" w:type="dxa"/>
            <w:tcBorders>
              <w:top w:val="single" w:sz="4" w:space="0" w:color="auto"/>
              <w:left w:val="nil"/>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61,315,842 </w:t>
            </w:r>
          </w:p>
        </w:tc>
        <w:tc>
          <w:tcPr>
            <w:tcW w:w="2426" w:type="dxa"/>
            <w:tcBorders>
              <w:top w:val="nil"/>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92,904,046 </w:t>
            </w:r>
          </w:p>
        </w:tc>
      </w:tr>
      <w:tr w:rsidR="006520E3" w:rsidRPr="002D70DA" w:rsidTr="00137283">
        <w:trPr>
          <w:trHeight w:val="240"/>
          <w:jc w:val="center"/>
        </w:trPr>
        <w:tc>
          <w:tcPr>
            <w:tcW w:w="6096" w:type="dxa"/>
            <w:tcBorders>
              <w:top w:val="nil"/>
              <w:left w:val="single" w:sz="4" w:space="0" w:color="auto"/>
              <w:bottom w:val="single" w:sz="4" w:space="0" w:color="auto"/>
              <w:right w:val="single" w:sz="4" w:space="0" w:color="auto"/>
            </w:tcBorders>
            <w:shd w:val="clear" w:color="auto" w:fill="auto"/>
          </w:tcPr>
          <w:p w:rsidR="006520E3" w:rsidRPr="00A05A53" w:rsidRDefault="006520E3" w:rsidP="00137283">
            <w:pPr>
              <w:rPr>
                <w:rFonts w:ascii="Arial" w:hAnsi="Arial" w:cs="Arial"/>
                <w:sz w:val="17"/>
                <w:szCs w:val="17"/>
              </w:rPr>
            </w:pPr>
            <w:r w:rsidRPr="00A05A53">
              <w:rPr>
                <w:rFonts w:ascii="Arial" w:hAnsi="Arial" w:cs="Arial"/>
                <w:sz w:val="17"/>
                <w:szCs w:val="17"/>
              </w:rPr>
              <w:t>Devoluciones de la Ley de Ingresos por Pagar a Corto Plazo</w:t>
            </w:r>
          </w:p>
        </w:tc>
        <w:tc>
          <w:tcPr>
            <w:tcW w:w="2551" w:type="dxa"/>
            <w:tcBorders>
              <w:top w:val="single" w:sz="4" w:space="0" w:color="auto"/>
              <w:left w:val="nil"/>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426" w:type="dxa"/>
            <w:tcBorders>
              <w:top w:val="nil"/>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326,665 </w:t>
            </w:r>
          </w:p>
        </w:tc>
      </w:tr>
      <w:tr w:rsidR="006520E3" w:rsidRPr="002D70DA" w:rsidTr="00137283">
        <w:trPr>
          <w:trHeight w:val="240"/>
          <w:jc w:val="center"/>
        </w:trPr>
        <w:tc>
          <w:tcPr>
            <w:tcW w:w="6096" w:type="dxa"/>
            <w:tcBorders>
              <w:top w:val="single" w:sz="4" w:space="0" w:color="auto"/>
              <w:left w:val="single" w:sz="4" w:space="0" w:color="auto"/>
              <w:bottom w:val="single" w:sz="4" w:space="0" w:color="auto"/>
              <w:right w:val="single" w:sz="4" w:space="0" w:color="auto"/>
            </w:tcBorders>
            <w:shd w:val="clear" w:color="auto" w:fill="auto"/>
          </w:tcPr>
          <w:p w:rsidR="006520E3" w:rsidRPr="00A05A53" w:rsidRDefault="006520E3" w:rsidP="00137283">
            <w:pPr>
              <w:rPr>
                <w:rFonts w:ascii="Arial" w:hAnsi="Arial" w:cs="Arial"/>
                <w:sz w:val="17"/>
                <w:szCs w:val="17"/>
              </w:rPr>
            </w:pPr>
            <w:r w:rsidRPr="00A05A53">
              <w:rPr>
                <w:rFonts w:ascii="Arial" w:hAnsi="Arial" w:cs="Arial"/>
                <w:sz w:val="17"/>
                <w:szCs w:val="17"/>
              </w:rPr>
              <w:t>Otras Cuentas por Pagar a Corto Plazo</w:t>
            </w:r>
          </w:p>
        </w:tc>
        <w:tc>
          <w:tcPr>
            <w:tcW w:w="2551" w:type="dxa"/>
            <w:tcBorders>
              <w:top w:val="single" w:sz="4" w:space="0" w:color="auto"/>
              <w:left w:val="nil"/>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782,996 </w:t>
            </w:r>
          </w:p>
        </w:tc>
        <w:tc>
          <w:tcPr>
            <w:tcW w:w="2426" w:type="dxa"/>
            <w:tcBorders>
              <w:top w:val="nil"/>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8,313,629 </w:t>
            </w:r>
          </w:p>
        </w:tc>
      </w:tr>
      <w:tr w:rsidR="006520E3" w:rsidRPr="002D70DA" w:rsidTr="00137283">
        <w:trPr>
          <w:trHeight w:val="240"/>
          <w:jc w:val="center"/>
        </w:trPr>
        <w:tc>
          <w:tcPr>
            <w:tcW w:w="6096" w:type="dxa"/>
            <w:tcBorders>
              <w:top w:val="single" w:sz="4" w:space="0" w:color="auto"/>
              <w:right w:val="single" w:sz="4" w:space="0" w:color="auto"/>
            </w:tcBorders>
            <w:shd w:val="clear" w:color="auto" w:fill="auto"/>
            <w:vAlign w:val="center"/>
          </w:tcPr>
          <w:p w:rsidR="006520E3" w:rsidRPr="00F93CE5" w:rsidRDefault="006520E3" w:rsidP="0013728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65,118,067 </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6520E3" w:rsidRPr="006F08B7"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117,762,405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Pr="00D76655" w:rsidRDefault="006520E3" w:rsidP="006520E3">
      <w:pPr>
        <w:spacing w:before="80" w:line="250" w:lineRule="exact"/>
        <w:ind w:left="709"/>
        <w:jc w:val="both"/>
        <w:rPr>
          <w:rFonts w:ascii="Arial" w:eastAsia="Calibri" w:hAnsi="Arial" w:cs="Arial"/>
          <w:spacing w:val="-1"/>
          <w:sz w:val="17"/>
          <w:szCs w:val="17"/>
        </w:rPr>
      </w:pPr>
      <w:r w:rsidRPr="00D76655">
        <w:rPr>
          <w:rFonts w:ascii="Arial" w:eastAsia="Calibri" w:hAnsi="Arial" w:cs="Arial"/>
          <w:spacing w:val="-1"/>
          <w:sz w:val="17"/>
          <w:szCs w:val="17"/>
        </w:rPr>
        <w:t>El decremento en la cuenta de Participaciones y Aportaciones por Pagar a Corto Plazo se debe a la depuración de la cuenta devengado pendiente de pago del Fondo de Aportaciones para la Nómina Educativa y el Gasto Operativo (FONE).</w:t>
      </w:r>
    </w:p>
    <w:p w:rsidR="006520E3" w:rsidRPr="00C65AA8" w:rsidRDefault="006520E3" w:rsidP="006520E3">
      <w:pPr>
        <w:spacing w:before="80" w:line="250" w:lineRule="exact"/>
        <w:ind w:left="709"/>
        <w:jc w:val="both"/>
        <w:rPr>
          <w:rFonts w:ascii="Arial" w:eastAsia="Calibri" w:hAnsi="Arial" w:cs="Arial"/>
          <w:spacing w:val="-1"/>
          <w:sz w:val="17"/>
          <w:szCs w:val="17"/>
          <w:highlight w:val="yellow"/>
        </w:rPr>
      </w:pPr>
      <w:r w:rsidRPr="00D76655">
        <w:rPr>
          <w:rFonts w:ascii="Arial" w:eastAsia="Calibri" w:hAnsi="Arial" w:cs="Arial"/>
          <w:spacing w:val="-1"/>
          <w:sz w:val="17"/>
          <w:szCs w:val="17"/>
        </w:rPr>
        <w:t>Dentro de la cuenta Retenciones y Contribuciones por Pagar a Corto Plazo destaca el decremento en Retenciones de Impuestos por pagar a Corto Plazo por concepto de ISR Sueldos y Salarios y Otras Retenciones y Contribuciones por Pagar a Corto Plazo por concepto IMSS cuota Patronal, derivado del análisis que se ha realizado a estas cuentas y en consecuencia a la depuración realizada.</w:t>
      </w:r>
    </w:p>
    <w:p w:rsidR="006520E3" w:rsidRPr="00D76655" w:rsidRDefault="006520E3" w:rsidP="006520E3">
      <w:pPr>
        <w:spacing w:before="80" w:line="250" w:lineRule="exact"/>
        <w:ind w:left="709"/>
        <w:jc w:val="both"/>
        <w:rPr>
          <w:rFonts w:ascii="Arial" w:eastAsia="Calibri" w:hAnsi="Arial" w:cs="Arial"/>
          <w:spacing w:val="-1"/>
          <w:sz w:val="17"/>
          <w:szCs w:val="17"/>
        </w:rPr>
      </w:pPr>
      <w:r w:rsidRPr="00D76655">
        <w:rPr>
          <w:rFonts w:ascii="Arial" w:eastAsia="Calibri" w:hAnsi="Arial" w:cs="Arial"/>
          <w:spacing w:val="-1"/>
          <w:sz w:val="17"/>
          <w:szCs w:val="17"/>
        </w:rPr>
        <w:t xml:space="preserve">En lo que respecta a las Devoluciones de la Ley de Ingresos por Pagar a Corto Plazo destaca la depuración de Pagos en exceso y devoluciones que son tramitadas ante la Procuraduría Fiscal. </w:t>
      </w:r>
    </w:p>
    <w:p w:rsidR="006520E3" w:rsidRPr="00704939" w:rsidRDefault="006520E3" w:rsidP="006520E3">
      <w:pPr>
        <w:spacing w:before="80" w:line="250" w:lineRule="exact"/>
        <w:ind w:left="709"/>
        <w:jc w:val="both"/>
        <w:rPr>
          <w:rFonts w:ascii="Arial" w:hAnsi="Arial" w:cs="Arial"/>
          <w:sz w:val="17"/>
          <w:szCs w:val="17"/>
        </w:rPr>
      </w:pPr>
      <w:r w:rsidRPr="00D76655">
        <w:rPr>
          <w:rFonts w:ascii="Arial" w:eastAsia="Calibri" w:hAnsi="Arial" w:cs="Arial"/>
          <w:spacing w:val="-1"/>
          <w:sz w:val="17"/>
          <w:szCs w:val="17"/>
        </w:rPr>
        <w:t xml:space="preserve">El decremento en la cuenta de </w:t>
      </w:r>
      <w:r w:rsidRPr="00D76655">
        <w:rPr>
          <w:rFonts w:ascii="Arial" w:hAnsi="Arial" w:cs="Arial"/>
          <w:sz w:val="17"/>
          <w:szCs w:val="17"/>
        </w:rPr>
        <w:t>Otras Cuentas por Pagar a Corto Plazo es derivado de la depuración de los conceptos Fianzas de la Procuraduría Fiscal, reintegros de Recursos Federales, Depósitos en la Tesorería no Identificados y de la cuenta por pagar a la ENEQ por concepto de compensación por trabajos adicionales al personal docente.</w:t>
      </w: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Se presenta la integración de la cuenta </w:t>
      </w:r>
      <w:r w:rsidRPr="004B310C">
        <w:rPr>
          <w:rFonts w:ascii="Arial" w:eastAsia="Calibri" w:hAnsi="Arial" w:cs="Arial"/>
          <w:spacing w:val="-1"/>
          <w:sz w:val="17"/>
          <w:szCs w:val="17"/>
        </w:rPr>
        <w:t>Proveedores por Pagar a Corto Plazo</w:t>
      </w:r>
      <w:r>
        <w:rPr>
          <w:rFonts w:ascii="Arial" w:eastAsia="Calibri" w:hAnsi="Arial" w:cs="Arial"/>
          <w:spacing w:val="-1"/>
          <w:sz w:val="17"/>
          <w:szCs w:val="17"/>
        </w:rPr>
        <w:t>:</w:t>
      </w:r>
    </w:p>
    <w:p w:rsidR="006520E3" w:rsidRPr="005540CE"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6834" w:type="dxa"/>
        <w:jc w:val="center"/>
        <w:tblCellMar>
          <w:left w:w="70" w:type="dxa"/>
          <w:right w:w="70" w:type="dxa"/>
        </w:tblCellMar>
        <w:tblLook w:val="04A0" w:firstRow="1" w:lastRow="0" w:firstColumn="1" w:lastColumn="0" w:noHBand="0" w:noVBand="1"/>
      </w:tblPr>
      <w:tblGrid>
        <w:gridCol w:w="4743"/>
        <w:gridCol w:w="2091"/>
      </w:tblGrid>
      <w:tr w:rsidR="006520E3" w:rsidRPr="002D70DA" w:rsidTr="00137283">
        <w:trPr>
          <w:trHeight w:val="125"/>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Monto</w:t>
            </w:r>
          </w:p>
        </w:tc>
      </w:tr>
      <w:tr w:rsidR="006520E3" w:rsidRPr="00126F00"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493747" w:rsidRDefault="006520E3" w:rsidP="00137283">
            <w:pPr>
              <w:rPr>
                <w:rFonts w:ascii="Arial" w:hAnsi="Arial" w:cs="Arial"/>
                <w:sz w:val="17"/>
                <w:szCs w:val="17"/>
              </w:rPr>
            </w:pPr>
            <w:r>
              <w:rPr>
                <w:rFonts w:ascii="Arial" w:hAnsi="Arial" w:cs="Arial"/>
                <w:sz w:val="17"/>
                <w:szCs w:val="17"/>
              </w:rPr>
              <w:t>Cheques pagados y no cobrados</w:t>
            </w:r>
          </w:p>
        </w:tc>
        <w:tc>
          <w:tcPr>
            <w:tcW w:w="2091" w:type="dxa"/>
            <w:tcBorders>
              <w:top w:val="single" w:sz="4" w:space="0" w:color="auto"/>
              <w:left w:val="nil"/>
              <w:bottom w:val="single" w:sz="4" w:space="0" w:color="auto"/>
              <w:right w:val="single" w:sz="4" w:space="0" w:color="auto"/>
            </w:tcBorders>
            <w:shd w:val="clear" w:color="auto" w:fill="auto"/>
          </w:tcPr>
          <w:p w:rsidR="006520E3" w:rsidRPr="00D76655" w:rsidRDefault="006520E3" w:rsidP="00137283">
            <w:pPr>
              <w:jc w:val="right"/>
              <w:rPr>
                <w:rFonts w:ascii="Arial" w:hAnsi="Arial" w:cs="Arial"/>
                <w:sz w:val="17"/>
                <w:szCs w:val="17"/>
              </w:rPr>
            </w:pPr>
            <w:r w:rsidRPr="00D76655">
              <w:rPr>
                <w:rFonts w:ascii="Arial" w:hAnsi="Arial" w:cs="Arial"/>
                <w:sz w:val="17"/>
                <w:szCs w:val="17"/>
              </w:rPr>
              <w:t xml:space="preserve">2,407,539 </w:t>
            </w:r>
          </w:p>
        </w:tc>
      </w:tr>
      <w:tr w:rsidR="006520E3" w:rsidRPr="00126F00" w:rsidTr="00137283">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6520E3" w:rsidRPr="00493747" w:rsidRDefault="006520E3" w:rsidP="00137283">
            <w:pPr>
              <w:rPr>
                <w:rFonts w:ascii="Arial" w:hAnsi="Arial" w:cs="Arial"/>
                <w:sz w:val="17"/>
                <w:szCs w:val="17"/>
              </w:rPr>
            </w:pPr>
            <w:r w:rsidRPr="00493747">
              <w:rPr>
                <w:rFonts w:ascii="Arial" w:hAnsi="Arial" w:cs="Arial"/>
                <w:sz w:val="17"/>
                <w:szCs w:val="17"/>
              </w:rPr>
              <w:t>Venta de libros Secretaría de la Cultura</w:t>
            </w:r>
          </w:p>
        </w:tc>
        <w:tc>
          <w:tcPr>
            <w:tcW w:w="2091" w:type="dxa"/>
            <w:tcBorders>
              <w:top w:val="single" w:sz="4" w:space="0" w:color="auto"/>
              <w:left w:val="nil"/>
              <w:bottom w:val="single" w:sz="4" w:space="0" w:color="auto"/>
              <w:right w:val="single" w:sz="4" w:space="0" w:color="auto"/>
            </w:tcBorders>
            <w:shd w:val="clear" w:color="auto" w:fill="auto"/>
          </w:tcPr>
          <w:p w:rsidR="006520E3" w:rsidRPr="00D76655" w:rsidRDefault="006520E3" w:rsidP="00137283">
            <w:pPr>
              <w:jc w:val="right"/>
              <w:rPr>
                <w:rFonts w:ascii="Arial" w:hAnsi="Arial" w:cs="Arial"/>
                <w:sz w:val="17"/>
                <w:szCs w:val="17"/>
              </w:rPr>
            </w:pPr>
            <w:r w:rsidRPr="00D76655">
              <w:rPr>
                <w:rFonts w:ascii="Arial" w:hAnsi="Arial" w:cs="Arial"/>
                <w:sz w:val="17"/>
                <w:szCs w:val="17"/>
              </w:rPr>
              <w:t xml:space="preserve"> 611,690 </w:t>
            </w:r>
          </w:p>
        </w:tc>
      </w:tr>
      <w:tr w:rsidR="006520E3" w:rsidRPr="00126F00" w:rsidTr="00137283">
        <w:trPr>
          <w:trHeight w:val="240"/>
          <w:jc w:val="center"/>
        </w:trPr>
        <w:tc>
          <w:tcPr>
            <w:tcW w:w="4743" w:type="dxa"/>
            <w:tcBorders>
              <w:top w:val="single" w:sz="4" w:space="0" w:color="auto"/>
              <w:right w:val="single" w:sz="4" w:space="0" w:color="auto"/>
            </w:tcBorders>
            <w:shd w:val="clear" w:color="auto" w:fill="auto"/>
            <w:vAlign w:val="center"/>
          </w:tcPr>
          <w:p w:rsidR="006520E3" w:rsidRPr="00493747" w:rsidRDefault="006520E3" w:rsidP="00137283">
            <w:pPr>
              <w:jc w:val="center"/>
              <w:rPr>
                <w:rFonts w:ascii="Arial" w:hAnsi="Arial" w:cs="Arial"/>
                <w:b/>
                <w:bCs/>
                <w:color w:val="000000"/>
                <w:sz w:val="17"/>
                <w:szCs w:val="17"/>
              </w:rPr>
            </w:pPr>
            <w:r w:rsidRPr="00493747">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6520E3" w:rsidRPr="00D76655" w:rsidRDefault="006520E3" w:rsidP="00137283">
            <w:pPr>
              <w:jc w:val="right"/>
              <w:rPr>
                <w:rFonts w:ascii="Arial" w:hAnsi="Arial" w:cs="Arial"/>
                <w:sz w:val="17"/>
                <w:szCs w:val="17"/>
              </w:rPr>
            </w:pPr>
            <w:r w:rsidRPr="00D76655">
              <w:rPr>
                <w:rFonts w:ascii="Arial" w:hAnsi="Arial" w:cs="Arial"/>
                <w:sz w:val="17"/>
                <w:szCs w:val="17"/>
              </w:rPr>
              <w:t xml:space="preserve">3,019,230 </w:t>
            </w:r>
          </w:p>
        </w:tc>
      </w:tr>
    </w:tbl>
    <w:p w:rsidR="006520E3" w:rsidRDefault="006520E3" w:rsidP="006520E3">
      <w:pPr>
        <w:spacing w:before="80" w:line="250" w:lineRule="exact"/>
        <w:ind w:left="709"/>
        <w:jc w:val="both"/>
        <w:rPr>
          <w:rFonts w:ascii="Arial" w:eastAsia="Calibri" w:hAnsi="Arial" w:cs="Arial"/>
          <w:spacing w:val="-1"/>
          <w:sz w:val="17"/>
          <w:szCs w:val="17"/>
        </w:rPr>
      </w:pPr>
      <w:r w:rsidRPr="009903C0">
        <w:rPr>
          <w:rFonts w:ascii="Arial" w:eastAsia="Calibri" w:hAnsi="Arial" w:cs="Arial"/>
          <w:spacing w:val="-1"/>
          <w:sz w:val="17"/>
          <w:szCs w:val="17"/>
        </w:rPr>
        <w:t>Se informa dentro del pasivo circulante la obligación de pago para los siguientes doce meses de la deuda pública según el calendario de pagos con BBVA Bancomer por un importe de 79</w:t>
      </w:r>
      <w:proofErr w:type="gramStart"/>
      <w:r w:rsidRPr="009903C0">
        <w:rPr>
          <w:rFonts w:ascii="Arial" w:eastAsia="Calibri" w:hAnsi="Arial" w:cs="Arial"/>
          <w:spacing w:val="-1"/>
          <w:sz w:val="17"/>
          <w:szCs w:val="17"/>
        </w:rPr>
        <w:t>,553,709</w:t>
      </w:r>
      <w:proofErr w:type="gramEnd"/>
      <w:r w:rsidRPr="009903C0">
        <w:rPr>
          <w:rFonts w:ascii="Arial" w:eastAsia="Calibri" w:hAnsi="Arial" w:cs="Arial"/>
          <w:spacing w:val="-1"/>
          <w:sz w:val="17"/>
          <w:szCs w:val="17"/>
        </w:rPr>
        <w:t>.</w:t>
      </w:r>
    </w:p>
    <w:p w:rsidR="006520E3" w:rsidRDefault="006520E3" w:rsidP="006520E3">
      <w:pPr>
        <w:spacing w:before="80" w:line="250" w:lineRule="exact"/>
        <w:ind w:firstLine="360"/>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el monto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 xml:space="preserve"> de los r</w:t>
      </w:r>
      <w:r>
        <w:rPr>
          <w:rFonts w:ascii="Arial" w:eastAsia="Calibri" w:hAnsi="Arial" w:cs="Arial"/>
          <w:spacing w:val="-1"/>
          <w:sz w:val="17"/>
          <w:szCs w:val="17"/>
        </w:rPr>
        <w:t>ecursos localizados en fondos y</w:t>
      </w:r>
      <w:r w:rsidRPr="002D70DA">
        <w:rPr>
          <w:rFonts w:ascii="Arial" w:eastAsia="Calibri" w:hAnsi="Arial" w:cs="Arial"/>
          <w:spacing w:val="-1"/>
          <w:sz w:val="17"/>
          <w:szCs w:val="17"/>
        </w:rPr>
        <w:t xml:space="preserve"> bienes de terceros en </w:t>
      </w:r>
      <w:r>
        <w:rPr>
          <w:rFonts w:ascii="Arial" w:eastAsia="Calibri" w:hAnsi="Arial" w:cs="Arial"/>
          <w:spacing w:val="-1"/>
          <w:sz w:val="17"/>
          <w:szCs w:val="17"/>
        </w:rPr>
        <w:t>garantía</w:t>
      </w:r>
      <w:r w:rsidRPr="002D70DA">
        <w:rPr>
          <w:rFonts w:ascii="Arial" w:eastAsia="Calibri" w:hAnsi="Arial" w:cs="Arial"/>
          <w:spacing w:val="-1"/>
          <w:sz w:val="17"/>
          <w:szCs w:val="17"/>
        </w:rPr>
        <w:t xml:space="preserve"> y/o </w:t>
      </w:r>
      <w:r>
        <w:rPr>
          <w:rFonts w:ascii="Arial" w:eastAsia="Calibri" w:hAnsi="Arial" w:cs="Arial"/>
          <w:spacing w:val="-1"/>
          <w:sz w:val="17"/>
          <w:szCs w:val="17"/>
        </w:rPr>
        <w:t>administración</w:t>
      </w:r>
      <w:r w:rsidRPr="002D70DA">
        <w:rPr>
          <w:rFonts w:ascii="Arial" w:eastAsia="Calibri" w:hAnsi="Arial" w:cs="Arial"/>
          <w:spacing w:val="-1"/>
          <w:sz w:val="17"/>
          <w:szCs w:val="17"/>
        </w:rPr>
        <w:t xml:space="preserve"> a corto plazo</w:t>
      </w:r>
      <w:r>
        <w:rPr>
          <w:rFonts w:ascii="Arial" w:eastAsia="Calibri" w:hAnsi="Arial" w:cs="Arial"/>
          <w:spacing w:val="-1"/>
          <w:sz w:val="17"/>
          <w:szCs w:val="17"/>
        </w:rPr>
        <w:t>:</w:t>
      </w:r>
    </w:p>
    <w:p w:rsidR="006520E3" w:rsidRDefault="006520E3" w:rsidP="006520E3">
      <w:pPr>
        <w:spacing w:before="80" w:line="250" w:lineRule="exact"/>
        <w:ind w:left="5672" w:firstLine="709"/>
        <w:jc w:val="both"/>
        <w:rPr>
          <w:rFonts w:ascii="Arial" w:eastAsia="Calibri" w:hAnsi="Arial" w:cs="Arial"/>
          <w:b/>
          <w:spacing w:val="-1"/>
          <w:sz w:val="17"/>
          <w:szCs w:val="17"/>
        </w:rPr>
      </w:pPr>
    </w:p>
    <w:p w:rsidR="006520E3" w:rsidRPr="00FF1509"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11440" w:type="dxa"/>
        <w:jc w:val="center"/>
        <w:tblCellMar>
          <w:left w:w="70" w:type="dxa"/>
          <w:right w:w="70" w:type="dxa"/>
        </w:tblCellMar>
        <w:tblLook w:val="04A0" w:firstRow="1" w:lastRow="0" w:firstColumn="1" w:lastColumn="0" w:noHBand="0" w:noVBand="1"/>
      </w:tblPr>
      <w:tblGrid>
        <w:gridCol w:w="4743"/>
        <w:gridCol w:w="157"/>
        <w:gridCol w:w="1934"/>
        <w:gridCol w:w="246"/>
        <w:gridCol w:w="1902"/>
        <w:gridCol w:w="278"/>
        <w:gridCol w:w="1870"/>
        <w:gridCol w:w="310"/>
      </w:tblGrid>
      <w:tr w:rsidR="006520E3" w:rsidRPr="002D70DA" w:rsidTr="00137283">
        <w:trPr>
          <w:gridAfter w:val="1"/>
          <w:wAfter w:w="310" w:type="dxa"/>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gridSpan w:val="2"/>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c>
          <w:tcPr>
            <w:tcW w:w="2148" w:type="dxa"/>
            <w:gridSpan w:val="2"/>
            <w:tcBorders>
              <w:top w:val="single" w:sz="4" w:space="0" w:color="auto"/>
              <w:left w:val="single" w:sz="4" w:space="0" w:color="auto"/>
              <w:bottom w:val="single" w:sz="4" w:space="0" w:color="auto"/>
              <w:right w:val="single" w:sz="4" w:space="0" w:color="auto"/>
            </w:tcBorders>
            <w:shd w:val="clear" w:color="auto" w:fill="D5DCE4"/>
          </w:tcPr>
          <w:p w:rsidR="006520E3"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Naturaleza</w:t>
            </w:r>
          </w:p>
        </w:tc>
      </w:tr>
      <w:tr w:rsidR="006520E3" w:rsidRPr="002D70DA" w:rsidTr="00137283">
        <w:trPr>
          <w:gridAfter w:val="1"/>
          <w:wAfter w:w="310" w:type="dxa"/>
          <w:trHeight w:val="205"/>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638ED" w:rsidRDefault="006520E3" w:rsidP="00137283">
            <w:pPr>
              <w:rPr>
                <w:rFonts w:ascii="Arial" w:hAnsi="Arial" w:cs="Arial"/>
                <w:sz w:val="17"/>
                <w:szCs w:val="17"/>
              </w:rPr>
            </w:pPr>
            <w:r w:rsidRPr="008638ED">
              <w:rPr>
                <w:rFonts w:ascii="Arial" w:hAnsi="Arial" w:cs="Arial"/>
                <w:sz w:val="17"/>
                <w:szCs w:val="17"/>
              </w:rPr>
              <w:t>Fondos en Garantía a Corto Plazo</w:t>
            </w:r>
          </w:p>
        </w:tc>
        <w:tc>
          <w:tcPr>
            <w:tcW w:w="2091" w:type="dxa"/>
            <w:gridSpan w:val="2"/>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14,076,301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15,208,799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8638ED" w:rsidRDefault="006520E3" w:rsidP="00137283">
            <w:pPr>
              <w:rPr>
                <w:rFonts w:ascii="Arial" w:hAnsi="Arial" w:cs="Arial"/>
                <w:sz w:val="17"/>
                <w:szCs w:val="17"/>
              </w:rPr>
            </w:pPr>
            <w:r>
              <w:rPr>
                <w:rFonts w:ascii="Arial" w:hAnsi="Arial" w:cs="Arial"/>
                <w:sz w:val="17"/>
                <w:szCs w:val="17"/>
              </w:rPr>
              <w:t>Fianzas y depósitos en garantía</w:t>
            </w:r>
          </w:p>
        </w:tc>
      </w:tr>
      <w:tr w:rsidR="006520E3" w:rsidRPr="002D70DA" w:rsidTr="00137283">
        <w:trPr>
          <w:gridAfter w:val="1"/>
          <w:wAfter w:w="310" w:type="dxa"/>
          <w:trHeight w:val="212"/>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638ED" w:rsidRDefault="006520E3" w:rsidP="00137283">
            <w:pPr>
              <w:rPr>
                <w:rFonts w:ascii="Arial" w:hAnsi="Arial" w:cs="Arial"/>
                <w:sz w:val="17"/>
                <w:szCs w:val="17"/>
              </w:rPr>
            </w:pPr>
            <w:r w:rsidRPr="008638ED">
              <w:rPr>
                <w:rFonts w:ascii="Arial" w:hAnsi="Arial" w:cs="Arial"/>
                <w:sz w:val="17"/>
                <w:szCs w:val="17"/>
              </w:rPr>
              <w:t>Fondos en Administración a Corto Plazo</w:t>
            </w:r>
          </w:p>
        </w:tc>
        <w:tc>
          <w:tcPr>
            <w:tcW w:w="2091" w:type="dxa"/>
            <w:gridSpan w:val="2"/>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1,807,082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8638ED" w:rsidRDefault="006520E3" w:rsidP="00137283">
            <w:pPr>
              <w:rPr>
                <w:rFonts w:ascii="Arial" w:hAnsi="Arial" w:cs="Arial"/>
                <w:sz w:val="17"/>
                <w:szCs w:val="17"/>
              </w:rPr>
            </w:pPr>
            <w:r>
              <w:rPr>
                <w:rFonts w:ascii="Arial" w:hAnsi="Arial" w:cs="Arial"/>
                <w:sz w:val="17"/>
                <w:szCs w:val="17"/>
              </w:rPr>
              <w:t>Programa de asentamientos humanos</w:t>
            </w:r>
          </w:p>
        </w:tc>
      </w:tr>
      <w:tr w:rsidR="006520E3" w:rsidRPr="002D70DA" w:rsidTr="00137283">
        <w:trPr>
          <w:gridAfter w:val="1"/>
          <w:wAfter w:w="310" w:type="dxa"/>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6520E3" w:rsidRPr="008638ED" w:rsidRDefault="006520E3" w:rsidP="00137283">
            <w:pPr>
              <w:rPr>
                <w:rFonts w:ascii="Arial" w:hAnsi="Arial" w:cs="Arial"/>
                <w:sz w:val="17"/>
                <w:szCs w:val="17"/>
              </w:rPr>
            </w:pPr>
            <w:r w:rsidRPr="008638ED">
              <w:rPr>
                <w:rFonts w:ascii="Arial" w:hAnsi="Arial" w:cs="Arial"/>
                <w:sz w:val="17"/>
                <w:szCs w:val="17"/>
              </w:rPr>
              <w:t>Otros Fondos de Terceros en Garantía y/o Administración a Corto Plazo</w:t>
            </w:r>
          </w:p>
        </w:tc>
        <w:tc>
          <w:tcPr>
            <w:tcW w:w="2091" w:type="dxa"/>
            <w:gridSpan w:val="2"/>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2,949,162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9,360,098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6520E3" w:rsidRPr="008638ED" w:rsidRDefault="006520E3" w:rsidP="00137283">
            <w:pPr>
              <w:rPr>
                <w:rFonts w:ascii="Arial" w:hAnsi="Arial" w:cs="Arial"/>
                <w:sz w:val="17"/>
                <w:szCs w:val="17"/>
              </w:rPr>
            </w:pPr>
            <w:r>
              <w:rPr>
                <w:rFonts w:ascii="Arial" w:hAnsi="Arial" w:cs="Arial"/>
                <w:sz w:val="17"/>
                <w:szCs w:val="17"/>
              </w:rPr>
              <w:t>Sanciones y retenciones de obra pública</w:t>
            </w:r>
          </w:p>
        </w:tc>
      </w:tr>
      <w:tr w:rsidR="006520E3" w:rsidRPr="002D70DA" w:rsidTr="00137283">
        <w:trPr>
          <w:gridAfter w:val="1"/>
          <w:wAfter w:w="310" w:type="dxa"/>
          <w:trHeight w:val="149"/>
          <w:jc w:val="center"/>
        </w:trPr>
        <w:tc>
          <w:tcPr>
            <w:tcW w:w="4743" w:type="dxa"/>
            <w:tcBorders>
              <w:top w:val="single" w:sz="4" w:space="0" w:color="auto"/>
              <w:right w:val="single" w:sz="4" w:space="0" w:color="auto"/>
            </w:tcBorders>
            <w:shd w:val="clear" w:color="auto" w:fill="auto"/>
            <w:vAlign w:val="center"/>
          </w:tcPr>
          <w:p w:rsidR="006520E3" w:rsidRPr="00F93CE5" w:rsidRDefault="006520E3" w:rsidP="0013728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gridSpan w:val="2"/>
            <w:tcBorders>
              <w:top w:val="single" w:sz="4" w:space="0" w:color="auto"/>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17,025,463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26,375,979 </w:t>
            </w:r>
          </w:p>
        </w:tc>
        <w:tc>
          <w:tcPr>
            <w:tcW w:w="2148" w:type="dxa"/>
            <w:gridSpan w:val="2"/>
            <w:tcBorders>
              <w:top w:val="single" w:sz="4" w:space="0" w:color="auto"/>
              <w:left w:val="single" w:sz="4" w:space="0" w:color="auto"/>
            </w:tcBorders>
            <w:shd w:val="clear" w:color="auto" w:fill="auto"/>
          </w:tcPr>
          <w:p w:rsidR="006520E3" w:rsidRPr="008638ED" w:rsidRDefault="006520E3" w:rsidP="00137283">
            <w:pPr>
              <w:jc w:val="right"/>
              <w:rPr>
                <w:rFonts w:ascii="Arial" w:hAnsi="Arial" w:cs="Arial"/>
                <w:b/>
                <w:bCs/>
                <w:color w:val="000000"/>
                <w:sz w:val="17"/>
                <w:szCs w:val="17"/>
              </w:rPr>
            </w:pPr>
          </w:p>
        </w:tc>
      </w:tr>
      <w:tr w:rsidR="006520E3" w:rsidRPr="002D70DA" w:rsidTr="00137283">
        <w:trPr>
          <w:trHeight w:val="240"/>
          <w:jc w:val="center"/>
        </w:trPr>
        <w:tc>
          <w:tcPr>
            <w:tcW w:w="4900" w:type="dxa"/>
            <w:gridSpan w:val="2"/>
            <w:tcBorders>
              <w:top w:val="nil"/>
              <w:left w:val="nil"/>
              <w:bottom w:val="nil"/>
              <w:right w:val="nil"/>
            </w:tcBorders>
            <w:shd w:val="clear" w:color="000000" w:fill="FFFFFF"/>
            <w:vAlign w:val="center"/>
            <w:hideMark/>
          </w:tcPr>
          <w:p w:rsidR="006520E3" w:rsidRPr="002D70DA" w:rsidRDefault="006520E3" w:rsidP="00137283">
            <w:pPr>
              <w:rPr>
                <w:rFonts w:ascii="Arial" w:hAnsi="Arial" w:cs="Arial"/>
                <w:color w:val="000000"/>
                <w:sz w:val="17"/>
                <w:szCs w:val="17"/>
              </w:rPr>
            </w:pPr>
          </w:p>
        </w:tc>
        <w:tc>
          <w:tcPr>
            <w:tcW w:w="2180" w:type="dxa"/>
            <w:gridSpan w:val="2"/>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color w:val="000000"/>
                <w:sz w:val="17"/>
                <w:szCs w:val="17"/>
              </w:rPr>
            </w:pPr>
            <w:r w:rsidRPr="002D70DA">
              <w:rPr>
                <w:rFonts w:ascii="Arial" w:hAnsi="Arial" w:cs="Arial"/>
                <w:color w:val="000000"/>
                <w:sz w:val="17"/>
                <w:szCs w:val="17"/>
              </w:rPr>
              <w:t> </w:t>
            </w:r>
          </w:p>
        </w:tc>
        <w:tc>
          <w:tcPr>
            <w:tcW w:w="2180" w:type="dxa"/>
            <w:gridSpan w:val="2"/>
            <w:tcBorders>
              <w:top w:val="nil"/>
              <w:left w:val="nil"/>
              <w:bottom w:val="nil"/>
              <w:right w:val="nil"/>
            </w:tcBorders>
            <w:shd w:val="clear" w:color="000000" w:fill="FFFFFF"/>
            <w:noWrap/>
            <w:vAlign w:val="bottom"/>
            <w:hideMark/>
          </w:tcPr>
          <w:p w:rsidR="006520E3" w:rsidRPr="002D70DA" w:rsidRDefault="006520E3" w:rsidP="00137283">
            <w:pPr>
              <w:rPr>
                <w:rFonts w:ascii="Arial" w:hAnsi="Arial" w:cs="Arial"/>
                <w:color w:val="000000"/>
                <w:sz w:val="17"/>
                <w:szCs w:val="17"/>
              </w:rPr>
            </w:pPr>
            <w:r w:rsidRPr="002D70DA">
              <w:rPr>
                <w:rFonts w:ascii="Arial" w:hAnsi="Arial" w:cs="Arial"/>
                <w:color w:val="000000"/>
                <w:sz w:val="17"/>
                <w:szCs w:val="17"/>
              </w:rPr>
              <w:t> </w:t>
            </w:r>
          </w:p>
        </w:tc>
        <w:tc>
          <w:tcPr>
            <w:tcW w:w="2180" w:type="dxa"/>
            <w:gridSpan w:val="2"/>
            <w:tcBorders>
              <w:top w:val="nil"/>
              <w:left w:val="nil"/>
              <w:bottom w:val="nil"/>
              <w:right w:val="nil"/>
            </w:tcBorders>
            <w:shd w:val="clear" w:color="auto" w:fill="auto"/>
            <w:noWrap/>
            <w:vAlign w:val="bottom"/>
            <w:hideMark/>
          </w:tcPr>
          <w:p w:rsidR="006520E3" w:rsidRPr="002D70DA" w:rsidRDefault="006520E3" w:rsidP="00137283">
            <w:pPr>
              <w:rPr>
                <w:rFonts w:ascii="Arial" w:hAnsi="Arial" w:cs="Arial"/>
                <w:color w:val="000000"/>
                <w:sz w:val="17"/>
                <w:szCs w:val="17"/>
              </w:rPr>
            </w:pPr>
          </w:p>
        </w:tc>
      </w:tr>
    </w:tbl>
    <w:p w:rsidR="006520E3" w:rsidRPr="009903C0" w:rsidRDefault="006520E3" w:rsidP="006520E3">
      <w:pPr>
        <w:spacing w:before="80" w:line="250" w:lineRule="exact"/>
        <w:ind w:left="709"/>
        <w:jc w:val="both"/>
        <w:rPr>
          <w:rFonts w:ascii="Arial" w:eastAsia="Calibri" w:hAnsi="Arial" w:cs="Arial"/>
          <w:spacing w:val="-1"/>
          <w:sz w:val="17"/>
          <w:szCs w:val="17"/>
        </w:rPr>
      </w:pPr>
      <w:r w:rsidRPr="009903C0">
        <w:rPr>
          <w:rFonts w:ascii="Arial" w:hAnsi="Arial" w:cs="Arial"/>
          <w:sz w:val="17"/>
          <w:szCs w:val="17"/>
        </w:rPr>
        <w:t>Fondos en Garantía a Corto Plazo</w:t>
      </w:r>
      <w:r w:rsidRPr="009903C0">
        <w:rPr>
          <w:rFonts w:ascii="Arial" w:eastAsia="Calibri" w:hAnsi="Arial" w:cs="Arial"/>
          <w:spacing w:val="-1"/>
          <w:sz w:val="17"/>
          <w:szCs w:val="17"/>
        </w:rPr>
        <w:t xml:space="preserve"> presenta un decremento derivado principalmente de la depuración de la cuenta Centro de Readaptación Social.</w:t>
      </w:r>
    </w:p>
    <w:p w:rsidR="006520E3" w:rsidRPr="009903C0" w:rsidRDefault="006520E3" w:rsidP="006520E3">
      <w:pPr>
        <w:spacing w:before="80" w:line="250" w:lineRule="exact"/>
        <w:ind w:left="709"/>
        <w:jc w:val="both"/>
        <w:rPr>
          <w:rFonts w:ascii="Arial" w:eastAsia="Calibri" w:hAnsi="Arial" w:cs="Arial"/>
          <w:spacing w:val="-1"/>
          <w:sz w:val="17"/>
          <w:szCs w:val="17"/>
        </w:rPr>
      </w:pPr>
      <w:r w:rsidRPr="009903C0">
        <w:rPr>
          <w:rFonts w:ascii="Arial" w:eastAsia="Calibri" w:hAnsi="Arial" w:cs="Arial"/>
          <w:spacing w:val="-1"/>
          <w:sz w:val="17"/>
          <w:szCs w:val="17"/>
        </w:rPr>
        <w:t>Fondos en Administración a Corto Plazo presenta una disminución por la reclasificación a largo plazo de Programa RAHI.</w:t>
      </w:r>
    </w:p>
    <w:p w:rsidR="006520E3" w:rsidRPr="00FF1509" w:rsidRDefault="006520E3" w:rsidP="006520E3">
      <w:pPr>
        <w:spacing w:before="80" w:line="250" w:lineRule="exact"/>
        <w:ind w:left="709"/>
        <w:jc w:val="both"/>
        <w:rPr>
          <w:rFonts w:ascii="Arial" w:eastAsia="Calibri" w:hAnsi="Arial" w:cs="Arial"/>
          <w:spacing w:val="-1"/>
          <w:sz w:val="17"/>
          <w:szCs w:val="17"/>
        </w:rPr>
      </w:pPr>
      <w:r w:rsidRPr="009903C0">
        <w:rPr>
          <w:rFonts w:ascii="Arial" w:eastAsia="Calibri" w:hAnsi="Arial" w:cs="Arial"/>
          <w:spacing w:val="-1"/>
          <w:sz w:val="17"/>
          <w:szCs w:val="17"/>
        </w:rPr>
        <w:t xml:space="preserve">Otros Fondos de Terceros en Garantía y/o Administración a Corto Plazo </w:t>
      </w:r>
      <w:proofErr w:type="gramStart"/>
      <w:r w:rsidRPr="009903C0">
        <w:rPr>
          <w:rFonts w:ascii="Arial" w:eastAsia="Calibri" w:hAnsi="Arial" w:cs="Arial"/>
          <w:spacing w:val="-1"/>
          <w:sz w:val="17"/>
          <w:szCs w:val="17"/>
        </w:rPr>
        <w:t>presenta</w:t>
      </w:r>
      <w:proofErr w:type="gramEnd"/>
      <w:r w:rsidRPr="009903C0">
        <w:rPr>
          <w:rFonts w:ascii="Arial" w:eastAsia="Calibri" w:hAnsi="Arial" w:cs="Arial"/>
          <w:spacing w:val="-1"/>
          <w:sz w:val="17"/>
          <w:szCs w:val="17"/>
        </w:rPr>
        <w:t xml:space="preserve"> un decremento derivado de la depuración de la cuenta Sancione</w:t>
      </w:r>
      <w:r w:rsidR="00476FD6">
        <w:rPr>
          <w:rFonts w:ascii="Arial" w:eastAsia="Calibri" w:hAnsi="Arial" w:cs="Arial"/>
          <w:spacing w:val="-1"/>
          <w:sz w:val="17"/>
          <w:szCs w:val="17"/>
        </w:rPr>
        <w:t>s Obra Pública y Retención por atraso de o</w:t>
      </w:r>
      <w:r w:rsidRPr="009903C0">
        <w:rPr>
          <w:rFonts w:ascii="Arial" w:eastAsia="Calibri" w:hAnsi="Arial" w:cs="Arial"/>
          <w:spacing w:val="-1"/>
          <w:sz w:val="17"/>
          <w:szCs w:val="17"/>
        </w:rPr>
        <w:t>bra que, por su antigüedad, fueron reconocidos como ingreso de ejercicios anteriores.</w:t>
      </w: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Pr>
          <w:rFonts w:ascii="Arial" w:eastAsia="Calibri" w:hAnsi="Arial" w:cs="Arial"/>
          <w:spacing w:val="-1"/>
          <w:sz w:val="17"/>
          <w:szCs w:val="17"/>
        </w:rPr>
        <w:t xml:space="preserve">del rubro </w:t>
      </w:r>
      <w:r w:rsidRPr="00AA1129">
        <w:rPr>
          <w:rFonts w:ascii="Arial" w:eastAsia="Calibri" w:hAnsi="Arial" w:cs="Arial"/>
          <w:spacing w:val="-1"/>
          <w:sz w:val="17"/>
          <w:szCs w:val="17"/>
        </w:rPr>
        <w:t>Otros Pasivos a Corto Plazo</w:t>
      </w:r>
      <w:r>
        <w:rPr>
          <w:rFonts w:ascii="Arial" w:eastAsia="Calibri" w:hAnsi="Arial" w:cs="Arial"/>
          <w:spacing w:val="-1"/>
          <w:sz w:val="17"/>
          <w:szCs w:val="17"/>
        </w:rPr>
        <w:t xml:space="preserve">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p>
    <w:p w:rsidR="006520E3" w:rsidRDefault="006520E3" w:rsidP="006520E3">
      <w:pPr>
        <w:spacing w:before="80" w:line="250" w:lineRule="exact"/>
        <w:ind w:left="709"/>
        <w:jc w:val="both"/>
        <w:rPr>
          <w:rFonts w:ascii="Arial" w:eastAsia="Calibri" w:hAnsi="Arial" w:cs="Arial"/>
          <w:spacing w:val="-1"/>
          <w:sz w:val="17"/>
          <w:szCs w:val="17"/>
        </w:rPr>
      </w:pPr>
    </w:p>
    <w:p w:rsidR="006520E3" w:rsidRPr="005540CE"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157"/>
        <w:gridCol w:w="1934"/>
        <w:gridCol w:w="246"/>
        <w:gridCol w:w="1902"/>
      </w:tblGrid>
      <w:tr w:rsidR="006520E3" w:rsidRPr="002D70DA" w:rsidTr="00137283">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gridSpan w:val="2"/>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822ED8"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822ED8" w:rsidRDefault="006520E3" w:rsidP="00137283">
            <w:pPr>
              <w:rPr>
                <w:rFonts w:ascii="Arial" w:hAnsi="Arial" w:cs="Arial"/>
                <w:sz w:val="17"/>
                <w:szCs w:val="17"/>
              </w:rPr>
            </w:pPr>
            <w:r w:rsidRPr="00822ED8">
              <w:rPr>
                <w:rFonts w:ascii="Arial" w:hAnsi="Arial" w:cs="Arial"/>
                <w:sz w:val="17"/>
                <w:szCs w:val="17"/>
              </w:rPr>
              <w:t>Ingresos por Clasificar</w:t>
            </w:r>
          </w:p>
        </w:tc>
        <w:tc>
          <w:tcPr>
            <w:tcW w:w="2091" w:type="dxa"/>
            <w:gridSpan w:val="2"/>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135,837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466,663 </w:t>
            </w:r>
          </w:p>
        </w:tc>
      </w:tr>
      <w:tr w:rsidR="006520E3" w:rsidRPr="00822ED8" w:rsidTr="00137283">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6520E3" w:rsidRPr="00822ED8" w:rsidRDefault="006520E3" w:rsidP="00137283">
            <w:pPr>
              <w:rPr>
                <w:rFonts w:ascii="Arial" w:hAnsi="Arial" w:cs="Arial"/>
                <w:sz w:val="17"/>
                <w:szCs w:val="17"/>
              </w:rPr>
            </w:pPr>
            <w:r w:rsidRPr="00822ED8">
              <w:rPr>
                <w:rFonts w:ascii="Arial" w:hAnsi="Arial" w:cs="Arial"/>
                <w:sz w:val="17"/>
                <w:szCs w:val="17"/>
              </w:rPr>
              <w:t>Recaudación por Participar</w:t>
            </w:r>
          </w:p>
        </w:tc>
        <w:tc>
          <w:tcPr>
            <w:tcW w:w="2091" w:type="dxa"/>
            <w:gridSpan w:val="2"/>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45,569,827 </w:t>
            </w:r>
          </w:p>
        </w:tc>
        <w:tc>
          <w:tcPr>
            <w:tcW w:w="2148" w:type="dxa"/>
            <w:gridSpan w:val="2"/>
            <w:tcBorders>
              <w:top w:val="nil"/>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52,464,394 </w:t>
            </w:r>
          </w:p>
        </w:tc>
      </w:tr>
      <w:tr w:rsidR="006520E3" w:rsidRPr="00822ED8" w:rsidTr="00137283">
        <w:trPr>
          <w:trHeight w:val="240"/>
          <w:jc w:val="center"/>
        </w:trPr>
        <w:tc>
          <w:tcPr>
            <w:tcW w:w="4743" w:type="dxa"/>
            <w:tcBorders>
              <w:top w:val="single" w:sz="4" w:space="0" w:color="auto"/>
              <w:right w:val="single" w:sz="4" w:space="0" w:color="auto"/>
            </w:tcBorders>
            <w:shd w:val="clear" w:color="auto" w:fill="auto"/>
            <w:vAlign w:val="center"/>
          </w:tcPr>
          <w:p w:rsidR="006520E3" w:rsidRPr="00822ED8" w:rsidRDefault="006520E3" w:rsidP="00137283">
            <w:pPr>
              <w:jc w:val="center"/>
              <w:rPr>
                <w:rFonts w:ascii="Arial" w:hAnsi="Arial" w:cs="Arial"/>
                <w:b/>
                <w:bCs/>
                <w:color w:val="000000"/>
                <w:sz w:val="17"/>
                <w:szCs w:val="17"/>
              </w:rPr>
            </w:pPr>
            <w:r w:rsidRPr="00822ED8">
              <w:rPr>
                <w:rFonts w:ascii="Arial" w:hAnsi="Arial" w:cs="Arial"/>
                <w:b/>
                <w:bCs/>
                <w:color w:val="000000"/>
                <w:sz w:val="17"/>
                <w:szCs w:val="17"/>
              </w:rPr>
              <w:t>Total</w:t>
            </w:r>
          </w:p>
        </w:tc>
        <w:tc>
          <w:tcPr>
            <w:tcW w:w="2091" w:type="dxa"/>
            <w:gridSpan w:val="2"/>
            <w:tcBorders>
              <w:top w:val="single" w:sz="4" w:space="0" w:color="auto"/>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45,705,665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6520E3" w:rsidRPr="00941BEA"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52,931,057 </w:t>
            </w:r>
          </w:p>
        </w:tc>
      </w:tr>
      <w:tr w:rsidR="006520E3" w:rsidRPr="00822ED8" w:rsidTr="00137283">
        <w:trPr>
          <w:gridAfter w:val="1"/>
          <w:wAfter w:w="1902" w:type="dxa"/>
          <w:trHeight w:val="240"/>
          <w:jc w:val="center"/>
        </w:trPr>
        <w:tc>
          <w:tcPr>
            <w:tcW w:w="4900" w:type="dxa"/>
            <w:gridSpan w:val="2"/>
            <w:tcBorders>
              <w:top w:val="nil"/>
              <w:left w:val="nil"/>
              <w:bottom w:val="nil"/>
              <w:right w:val="nil"/>
            </w:tcBorders>
            <w:shd w:val="clear" w:color="000000" w:fill="FFFFFF"/>
            <w:vAlign w:val="center"/>
            <w:hideMark/>
          </w:tcPr>
          <w:p w:rsidR="006520E3" w:rsidRPr="00822ED8" w:rsidRDefault="006520E3" w:rsidP="00137283">
            <w:pPr>
              <w:rPr>
                <w:rFonts w:ascii="Arial" w:hAnsi="Arial" w:cs="Arial"/>
                <w:color w:val="000000"/>
                <w:sz w:val="17"/>
                <w:szCs w:val="17"/>
              </w:rPr>
            </w:pPr>
          </w:p>
        </w:tc>
        <w:tc>
          <w:tcPr>
            <w:tcW w:w="2180" w:type="dxa"/>
            <w:gridSpan w:val="2"/>
            <w:tcBorders>
              <w:top w:val="nil"/>
              <w:left w:val="nil"/>
              <w:bottom w:val="nil"/>
              <w:right w:val="nil"/>
            </w:tcBorders>
            <w:shd w:val="clear" w:color="000000" w:fill="FFFFFF"/>
            <w:vAlign w:val="center"/>
            <w:hideMark/>
          </w:tcPr>
          <w:p w:rsidR="006520E3" w:rsidRPr="00822ED8" w:rsidRDefault="006520E3" w:rsidP="00137283">
            <w:pPr>
              <w:jc w:val="center"/>
              <w:rPr>
                <w:rFonts w:ascii="Arial" w:hAnsi="Arial" w:cs="Arial"/>
                <w:color w:val="000000"/>
                <w:sz w:val="17"/>
                <w:szCs w:val="17"/>
              </w:rPr>
            </w:pPr>
            <w:r w:rsidRPr="00822ED8">
              <w:rPr>
                <w:rFonts w:ascii="Arial" w:hAnsi="Arial" w:cs="Arial"/>
                <w:color w:val="000000"/>
                <w:sz w:val="17"/>
                <w:szCs w:val="17"/>
              </w:rPr>
              <w:t> </w:t>
            </w:r>
          </w:p>
        </w:tc>
      </w:tr>
    </w:tbl>
    <w:p w:rsidR="006520E3" w:rsidRPr="00C65AA8" w:rsidRDefault="004F6A96" w:rsidP="006520E3">
      <w:pPr>
        <w:spacing w:before="80" w:line="250" w:lineRule="exact"/>
        <w:ind w:left="709"/>
        <w:jc w:val="both"/>
        <w:rPr>
          <w:rFonts w:ascii="Arial" w:eastAsia="Calibri" w:hAnsi="Arial" w:cs="Arial"/>
          <w:spacing w:val="-1"/>
          <w:sz w:val="17"/>
          <w:szCs w:val="17"/>
          <w:highlight w:val="yellow"/>
        </w:rPr>
      </w:pPr>
      <w:r w:rsidRPr="004F6A96">
        <w:rPr>
          <w:rFonts w:ascii="Arial" w:eastAsia="Calibri" w:hAnsi="Arial" w:cs="Arial"/>
          <w:spacing w:val="-1"/>
          <w:sz w:val="17"/>
          <w:szCs w:val="17"/>
        </w:rPr>
        <w:t>El de</w:t>
      </w:r>
      <w:r w:rsidR="006520E3" w:rsidRPr="004F6A96">
        <w:rPr>
          <w:rFonts w:ascii="Arial" w:eastAsia="Calibri" w:hAnsi="Arial" w:cs="Arial"/>
          <w:spacing w:val="-1"/>
          <w:sz w:val="17"/>
          <w:szCs w:val="17"/>
        </w:rPr>
        <w:t xml:space="preserve">cremento en la cuenta Ingresos por Clasificar se debe principalmente a </w:t>
      </w:r>
      <w:r w:rsidRPr="004F6A96">
        <w:rPr>
          <w:rFonts w:ascii="Arial" w:eastAsia="Calibri" w:hAnsi="Arial" w:cs="Arial"/>
          <w:spacing w:val="-1"/>
          <w:sz w:val="17"/>
          <w:szCs w:val="17"/>
        </w:rPr>
        <w:t xml:space="preserve">la depuración de </w:t>
      </w:r>
      <w:r w:rsidR="006520E3" w:rsidRPr="004F6A96">
        <w:rPr>
          <w:rFonts w:ascii="Arial" w:eastAsia="Calibri" w:hAnsi="Arial" w:cs="Arial"/>
          <w:spacing w:val="-1"/>
          <w:sz w:val="17"/>
          <w:szCs w:val="17"/>
        </w:rPr>
        <w:t>líneas de captura duplicadas durante el operativo de pago de tenencia.</w:t>
      </w:r>
    </w:p>
    <w:p w:rsidR="006520E3" w:rsidRDefault="006520E3" w:rsidP="006520E3">
      <w:pPr>
        <w:spacing w:before="80" w:line="250" w:lineRule="exact"/>
        <w:ind w:left="709"/>
        <w:jc w:val="both"/>
        <w:rPr>
          <w:rFonts w:ascii="Arial" w:eastAsia="Calibri" w:hAnsi="Arial" w:cs="Arial"/>
          <w:spacing w:val="-1"/>
          <w:sz w:val="17"/>
          <w:szCs w:val="17"/>
        </w:rPr>
      </w:pPr>
      <w:r w:rsidRPr="009903C0">
        <w:rPr>
          <w:rFonts w:ascii="Arial" w:eastAsia="Calibri" w:hAnsi="Arial" w:cs="Arial"/>
          <w:spacing w:val="-1"/>
          <w:sz w:val="17"/>
          <w:szCs w:val="17"/>
        </w:rPr>
        <w:t>En la cuenta de Recaudación por Participar presenta una disminución derivado del ISR Notarios y Multas Retención ISR Sueldos y Salarios.</w:t>
      </w: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jc w:val="both"/>
        <w:rPr>
          <w:rFonts w:ascii="Arial" w:eastAsia="Calibri" w:hAnsi="Arial" w:cs="Arial"/>
          <w:spacing w:val="-1"/>
          <w:sz w:val="17"/>
          <w:szCs w:val="17"/>
        </w:rPr>
      </w:pPr>
    </w:p>
    <w:p w:rsidR="006520E3" w:rsidRDefault="006520E3" w:rsidP="006520E3">
      <w:pPr>
        <w:spacing w:before="80" w:line="250" w:lineRule="exact"/>
        <w:jc w:val="both"/>
        <w:rPr>
          <w:rFonts w:ascii="Arial" w:eastAsia="Calibri" w:hAnsi="Arial" w:cs="Arial"/>
          <w:spacing w:val="-1"/>
          <w:sz w:val="17"/>
          <w:szCs w:val="17"/>
        </w:rPr>
      </w:pPr>
    </w:p>
    <w:p w:rsidR="00515775" w:rsidRDefault="00515775" w:rsidP="006520E3">
      <w:pPr>
        <w:spacing w:before="80" w:line="250" w:lineRule="exact"/>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lastRenderedPageBreak/>
        <w:t xml:space="preserve">Se informa del rubro </w:t>
      </w:r>
      <w:r w:rsidRPr="00CB2A5D">
        <w:rPr>
          <w:rFonts w:ascii="Arial" w:eastAsia="Calibri" w:hAnsi="Arial" w:cs="Arial"/>
          <w:spacing w:val="-1"/>
          <w:sz w:val="17"/>
          <w:szCs w:val="17"/>
        </w:rPr>
        <w:t>Deuda Pública a Largo Plazo</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el monto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p>
    <w:p w:rsidR="006520E3" w:rsidRDefault="006520E3" w:rsidP="006520E3">
      <w:pPr>
        <w:spacing w:before="80" w:line="250" w:lineRule="exact"/>
        <w:ind w:left="709"/>
        <w:jc w:val="both"/>
        <w:rPr>
          <w:rFonts w:ascii="Arial" w:eastAsia="Calibri" w:hAnsi="Arial" w:cs="Arial"/>
          <w:spacing w:val="-1"/>
          <w:sz w:val="17"/>
          <w:szCs w:val="17"/>
        </w:rPr>
      </w:pP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6520E3" w:rsidRPr="002D70DA" w:rsidTr="00137283">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vAlign w:val="center"/>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520E3" w:rsidRPr="00434092" w:rsidRDefault="006520E3" w:rsidP="00137283">
            <w:pPr>
              <w:rPr>
                <w:rFonts w:ascii="Arial" w:hAnsi="Arial" w:cs="Arial"/>
                <w:sz w:val="17"/>
                <w:szCs w:val="17"/>
              </w:rPr>
            </w:pPr>
            <w:r w:rsidRPr="00CB2A5D">
              <w:rPr>
                <w:rFonts w:ascii="Arial" w:hAnsi="Arial" w:cs="Arial"/>
                <w:sz w:val="17"/>
                <w:szCs w:val="17"/>
              </w:rPr>
              <w:t>Préstamos de la Deuda Pública Interna por Pagar a Largo Plazo</w:t>
            </w:r>
          </w:p>
        </w:tc>
        <w:tc>
          <w:tcPr>
            <w:tcW w:w="2091" w:type="dxa"/>
            <w:tcBorders>
              <w:top w:val="single" w:sz="4" w:space="0" w:color="auto"/>
              <w:left w:val="nil"/>
              <w:bottom w:val="single" w:sz="4" w:space="0" w:color="auto"/>
              <w:right w:val="single" w:sz="4" w:space="0" w:color="auto"/>
            </w:tcBorders>
            <w:shd w:val="clear" w:color="auto" w:fill="auto"/>
          </w:tcPr>
          <w:p w:rsidR="006520E3" w:rsidRPr="0041062D"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166,420,180 </w:t>
            </w:r>
          </w:p>
        </w:tc>
        <w:tc>
          <w:tcPr>
            <w:tcW w:w="2148" w:type="dxa"/>
            <w:tcBorders>
              <w:top w:val="nil"/>
              <w:left w:val="single" w:sz="4" w:space="0" w:color="auto"/>
              <w:bottom w:val="single" w:sz="4" w:space="0" w:color="auto"/>
              <w:right w:val="single" w:sz="4" w:space="0" w:color="auto"/>
            </w:tcBorders>
            <w:shd w:val="clear" w:color="auto" w:fill="auto"/>
          </w:tcPr>
          <w:p w:rsidR="006520E3" w:rsidRPr="0041062D"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445,973,888 </w:t>
            </w:r>
          </w:p>
        </w:tc>
      </w:tr>
    </w:tbl>
    <w:p w:rsidR="006520E3" w:rsidRPr="00CA29AF"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hAnsi="Arial" w:cs="Arial"/>
          <w:color w:val="000000"/>
          <w:sz w:val="16"/>
          <w:szCs w:val="16"/>
        </w:rPr>
      </w:pPr>
      <w:r w:rsidRPr="00A42457">
        <w:rPr>
          <w:rFonts w:ascii="Arial" w:eastAsia="Calibri" w:hAnsi="Arial" w:cs="Arial"/>
          <w:spacing w:val="-1"/>
          <w:sz w:val="17"/>
          <w:szCs w:val="17"/>
        </w:rPr>
        <w:t xml:space="preserve">Se informa que la deuda contratada con BBVA prevé su amortización completa para el mes de </w:t>
      </w:r>
      <w:r w:rsidR="001977F7" w:rsidRPr="00A42457">
        <w:rPr>
          <w:rFonts w:ascii="Arial" w:eastAsia="Calibri" w:hAnsi="Arial" w:cs="Arial"/>
          <w:spacing w:val="-1"/>
          <w:sz w:val="17"/>
          <w:szCs w:val="17"/>
        </w:rPr>
        <w:t>agosto de 2022</w:t>
      </w:r>
      <w:r w:rsidRPr="00A42457">
        <w:rPr>
          <w:rFonts w:ascii="Arial" w:eastAsia="Calibri" w:hAnsi="Arial" w:cs="Arial"/>
          <w:spacing w:val="-1"/>
          <w:sz w:val="17"/>
          <w:szCs w:val="17"/>
        </w:rPr>
        <w:t xml:space="preserve"> estando garantizada a través de un fideicomiso de administración y pago fondeado con participaciones federales. Destaca prepagos realizados dejando un saldo pendiente de pago por </w:t>
      </w:r>
      <w:r w:rsidRPr="00A42457">
        <w:rPr>
          <w:rFonts w:ascii="Arial" w:hAnsi="Arial" w:cs="Arial"/>
          <w:color w:val="000000"/>
          <w:sz w:val="16"/>
          <w:szCs w:val="16"/>
        </w:rPr>
        <w:t>166</w:t>
      </w:r>
      <w:proofErr w:type="gramStart"/>
      <w:r w:rsidRPr="00A42457">
        <w:rPr>
          <w:rFonts w:ascii="Arial" w:hAnsi="Arial" w:cs="Arial"/>
          <w:color w:val="000000"/>
          <w:sz w:val="16"/>
          <w:szCs w:val="16"/>
        </w:rPr>
        <w:t>,420,180</w:t>
      </w:r>
      <w:proofErr w:type="gramEnd"/>
      <w:r w:rsidRPr="00A42457">
        <w:rPr>
          <w:rFonts w:ascii="Arial" w:hAnsi="Arial" w:cs="Arial"/>
          <w:color w:val="000000"/>
          <w:sz w:val="16"/>
          <w:szCs w:val="16"/>
        </w:rPr>
        <w:t>.</w:t>
      </w:r>
    </w:p>
    <w:p w:rsidR="006520E3" w:rsidRDefault="006520E3" w:rsidP="006520E3">
      <w:pPr>
        <w:spacing w:before="80" w:line="250" w:lineRule="exact"/>
        <w:ind w:firstLine="709"/>
        <w:jc w:val="both"/>
        <w:rPr>
          <w:rFonts w:ascii="Arial" w:eastAsia="Calibri" w:hAnsi="Arial" w:cs="Arial"/>
          <w:spacing w:val="-1"/>
          <w:sz w:val="17"/>
          <w:szCs w:val="17"/>
        </w:rPr>
      </w:pPr>
    </w:p>
    <w:p w:rsidR="006520E3" w:rsidRDefault="006520E3" w:rsidP="006520E3">
      <w:pPr>
        <w:spacing w:before="80" w:line="250" w:lineRule="exact"/>
        <w:ind w:firstLine="709"/>
        <w:jc w:val="both"/>
        <w:rPr>
          <w:rFonts w:ascii="Arial" w:eastAsia="Calibri" w:hAnsi="Arial" w:cs="Arial"/>
          <w:spacing w:val="-1"/>
          <w:sz w:val="17"/>
          <w:szCs w:val="17"/>
        </w:rPr>
      </w:pPr>
      <w:r>
        <w:rPr>
          <w:rFonts w:ascii="Arial" w:eastAsia="Calibri" w:hAnsi="Arial" w:cs="Arial"/>
          <w:spacing w:val="-1"/>
          <w:sz w:val="17"/>
          <w:szCs w:val="17"/>
        </w:rPr>
        <w:t xml:space="preserve">Se informa el saldo del rubro </w:t>
      </w:r>
      <w:r w:rsidRPr="00F535B4">
        <w:rPr>
          <w:rFonts w:ascii="Arial" w:eastAsia="Calibri" w:hAnsi="Arial" w:cs="Arial"/>
          <w:spacing w:val="-1"/>
          <w:sz w:val="17"/>
          <w:szCs w:val="17"/>
        </w:rPr>
        <w:t xml:space="preserve">Provisiones a Largo Plazo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p>
    <w:p w:rsidR="006520E3" w:rsidRPr="005540CE" w:rsidRDefault="006520E3" w:rsidP="006520E3">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6520E3" w:rsidRPr="002D70DA" w:rsidTr="00137283">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single" w:sz="4" w:space="0" w:color="auto"/>
              <w:bottom w:val="single" w:sz="4" w:space="0" w:color="auto"/>
              <w:right w:val="single" w:sz="4" w:space="0" w:color="auto"/>
            </w:tcBorders>
            <w:shd w:val="clear" w:color="auto" w:fill="D5DCE4"/>
            <w:vAlign w:val="center"/>
          </w:tcPr>
          <w:p w:rsidR="006520E3" w:rsidRPr="008D73A5"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4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8D73A5"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2D70DA" w:rsidTr="00137283">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6520E3" w:rsidRPr="00434092" w:rsidRDefault="006520E3" w:rsidP="00137283">
            <w:pPr>
              <w:rPr>
                <w:rFonts w:ascii="Arial" w:hAnsi="Arial" w:cs="Arial"/>
                <w:sz w:val="17"/>
                <w:szCs w:val="17"/>
              </w:rPr>
            </w:pPr>
            <w:r w:rsidRPr="00F535B4">
              <w:rPr>
                <w:rFonts w:ascii="Arial" w:hAnsi="Arial" w:cs="Arial"/>
                <w:sz w:val="17"/>
                <w:szCs w:val="17"/>
              </w:rPr>
              <w:t>Provisión para Pensiones a Largo Plazo</w:t>
            </w:r>
          </w:p>
        </w:tc>
        <w:tc>
          <w:tcPr>
            <w:tcW w:w="2091" w:type="dxa"/>
            <w:tcBorders>
              <w:top w:val="single" w:sz="4" w:space="0" w:color="auto"/>
              <w:left w:val="nil"/>
              <w:bottom w:val="single" w:sz="4" w:space="0" w:color="auto"/>
              <w:right w:val="single" w:sz="4" w:space="0" w:color="auto"/>
            </w:tcBorders>
            <w:shd w:val="clear" w:color="auto" w:fill="auto"/>
          </w:tcPr>
          <w:p w:rsidR="006520E3" w:rsidRDefault="00A82E29" w:rsidP="00137283">
            <w:pPr>
              <w:jc w:val="right"/>
              <w:rPr>
                <w:rFonts w:ascii="Arial" w:hAnsi="Arial" w:cs="Arial"/>
                <w:color w:val="000000"/>
                <w:sz w:val="17"/>
                <w:szCs w:val="17"/>
              </w:rPr>
            </w:pPr>
            <w:r>
              <w:rPr>
                <w:rFonts w:ascii="Arial" w:hAnsi="Arial" w:cs="Arial"/>
                <w:color w:val="000000"/>
                <w:sz w:val="17"/>
                <w:szCs w:val="17"/>
              </w:rPr>
              <w:t>158,189,478</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520E3"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146,119,493 </w:t>
            </w:r>
          </w:p>
        </w:tc>
      </w:tr>
    </w:tbl>
    <w:p w:rsidR="006520E3" w:rsidRDefault="006520E3" w:rsidP="006520E3">
      <w:pPr>
        <w:pStyle w:val="Prrafodelista"/>
        <w:autoSpaceDE w:val="0"/>
        <w:autoSpaceDN w:val="0"/>
        <w:adjustRightInd w:val="0"/>
        <w:spacing w:before="240" w:after="120"/>
        <w:ind w:left="709"/>
        <w:jc w:val="both"/>
        <w:rPr>
          <w:rFonts w:ascii="Arial" w:hAnsi="Arial" w:cs="Arial"/>
          <w:sz w:val="17"/>
          <w:szCs w:val="17"/>
        </w:rPr>
      </w:pPr>
    </w:p>
    <w:p w:rsidR="00A82E29" w:rsidRDefault="00A82E29" w:rsidP="00A82E29">
      <w:pPr>
        <w:pStyle w:val="Prrafodelista"/>
        <w:autoSpaceDE w:val="0"/>
        <w:autoSpaceDN w:val="0"/>
        <w:adjustRightInd w:val="0"/>
        <w:spacing w:before="240" w:after="120"/>
        <w:ind w:left="709"/>
        <w:jc w:val="both"/>
        <w:rPr>
          <w:rFonts w:ascii="Arial" w:hAnsi="Arial" w:cs="Arial"/>
          <w:sz w:val="17"/>
          <w:szCs w:val="17"/>
        </w:rPr>
      </w:pPr>
      <w:r w:rsidRPr="008F4BA2">
        <w:rPr>
          <w:rFonts w:ascii="Arial" w:hAnsi="Arial" w:cs="Arial"/>
          <w:sz w:val="17"/>
          <w:szCs w:val="17"/>
        </w:rPr>
        <w:t>El saldo que se presenta corresponde a reserva actuarial del Poder Ejecutivo del Estado de Querétaro. El incremento del 8% obedece a intereses generados en el periodo que se presenta.</w:t>
      </w:r>
    </w:p>
    <w:p w:rsidR="006520E3" w:rsidRDefault="006520E3" w:rsidP="006520E3">
      <w:pPr>
        <w:pStyle w:val="Prrafodelista"/>
        <w:autoSpaceDE w:val="0"/>
        <w:autoSpaceDN w:val="0"/>
        <w:adjustRightInd w:val="0"/>
        <w:spacing w:before="240" w:after="120"/>
        <w:ind w:left="709"/>
        <w:jc w:val="both"/>
        <w:rPr>
          <w:rFonts w:ascii="Arial" w:hAnsi="Arial" w:cs="Arial"/>
          <w:sz w:val="17"/>
          <w:szCs w:val="17"/>
        </w:rPr>
      </w:pPr>
    </w:p>
    <w:p w:rsidR="00666FE1" w:rsidRDefault="00666FE1" w:rsidP="006520E3">
      <w:pPr>
        <w:pStyle w:val="Prrafodelista"/>
        <w:autoSpaceDE w:val="0"/>
        <w:autoSpaceDN w:val="0"/>
        <w:adjustRightInd w:val="0"/>
        <w:spacing w:before="240" w:after="120"/>
        <w:ind w:left="709"/>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7731C" w:rsidRDefault="0067731C" w:rsidP="006520E3">
      <w:pPr>
        <w:pStyle w:val="Prrafodelista"/>
        <w:autoSpaceDE w:val="0"/>
        <w:autoSpaceDN w:val="0"/>
        <w:adjustRightInd w:val="0"/>
        <w:spacing w:before="240" w:after="120"/>
        <w:ind w:left="0"/>
        <w:jc w:val="both"/>
        <w:rPr>
          <w:rFonts w:ascii="Arial" w:hAnsi="Arial" w:cs="Arial"/>
          <w:sz w:val="17"/>
          <w:szCs w:val="17"/>
        </w:rPr>
      </w:pPr>
    </w:p>
    <w:p w:rsidR="00FC56A8" w:rsidRDefault="00FC56A8">
      <w:pPr>
        <w:spacing w:after="160" w:line="259" w:lineRule="auto"/>
        <w:rPr>
          <w:rFonts w:ascii="Arial" w:hAnsi="Arial" w:cs="Arial"/>
          <w:sz w:val="17"/>
          <w:szCs w:val="17"/>
        </w:rPr>
      </w:pPr>
      <w:r>
        <w:rPr>
          <w:rFonts w:ascii="Arial" w:hAnsi="Arial" w:cs="Arial"/>
          <w:sz w:val="17"/>
          <w:szCs w:val="17"/>
        </w:rPr>
        <w:br w:type="page"/>
      </w:r>
    </w:p>
    <w:p w:rsidR="006520E3" w:rsidRDefault="006520E3" w:rsidP="006520E3">
      <w:pPr>
        <w:pStyle w:val="Prrafodelista"/>
        <w:autoSpaceDE w:val="0"/>
        <w:autoSpaceDN w:val="0"/>
        <w:adjustRightInd w:val="0"/>
        <w:spacing w:before="240" w:after="120"/>
        <w:ind w:left="0"/>
        <w:jc w:val="both"/>
        <w:rPr>
          <w:rFonts w:ascii="Arial" w:hAnsi="Arial" w:cs="Arial"/>
          <w:sz w:val="17"/>
          <w:szCs w:val="17"/>
        </w:rPr>
      </w:pPr>
    </w:p>
    <w:p w:rsidR="006520E3" w:rsidRPr="002D70DA" w:rsidRDefault="006520E3" w:rsidP="006520E3">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Actividades</w:t>
      </w:r>
    </w:p>
    <w:p w:rsidR="006520E3" w:rsidRDefault="006520E3" w:rsidP="006520E3">
      <w:pPr>
        <w:pStyle w:val="Prrafodelista"/>
        <w:autoSpaceDE w:val="0"/>
        <w:autoSpaceDN w:val="0"/>
        <w:adjustRightInd w:val="0"/>
        <w:spacing w:before="240" w:after="120"/>
        <w:jc w:val="both"/>
        <w:rPr>
          <w:rFonts w:ascii="Arial" w:hAnsi="Arial" w:cs="Arial"/>
          <w:b/>
          <w:sz w:val="17"/>
          <w:szCs w:val="17"/>
        </w:rPr>
      </w:pPr>
    </w:p>
    <w:p w:rsidR="006520E3" w:rsidRPr="00DD12CE" w:rsidRDefault="006520E3" w:rsidP="006520E3">
      <w:pPr>
        <w:pStyle w:val="Prrafodelista"/>
        <w:numPr>
          <w:ilvl w:val="0"/>
          <w:numId w:val="14"/>
        </w:numPr>
        <w:autoSpaceDE w:val="0"/>
        <w:autoSpaceDN w:val="0"/>
        <w:adjustRightInd w:val="0"/>
        <w:spacing w:before="240" w:after="120"/>
        <w:jc w:val="both"/>
        <w:rPr>
          <w:rFonts w:ascii="Arial" w:hAnsi="Arial" w:cs="Arial"/>
          <w:b/>
          <w:sz w:val="17"/>
          <w:szCs w:val="17"/>
        </w:rPr>
      </w:pPr>
      <w:r w:rsidRPr="00DD12CE">
        <w:rPr>
          <w:rFonts w:ascii="Arial" w:hAnsi="Arial" w:cs="Arial"/>
          <w:b/>
          <w:sz w:val="17"/>
          <w:szCs w:val="17"/>
        </w:rPr>
        <w:t>Ingresos de gestión</w:t>
      </w:r>
    </w:p>
    <w:p w:rsidR="006520E3"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impuestos, </w:t>
      </w:r>
      <w:r>
        <w:rPr>
          <w:rFonts w:ascii="Arial" w:eastAsia="Calibri" w:hAnsi="Arial" w:cs="Arial"/>
          <w:spacing w:val="-1"/>
          <w:sz w:val="17"/>
          <w:szCs w:val="17"/>
        </w:rPr>
        <w:t xml:space="preserve">cuotas y aportaciones de seguridad social, </w:t>
      </w:r>
      <w:r w:rsidRPr="002D70DA">
        <w:rPr>
          <w:rFonts w:ascii="Arial" w:eastAsia="Calibri" w:hAnsi="Arial" w:cs="Arial"/>
          <w:spacing w:val="-1"/>
          <w:sz w:val="17"/>
          <w:szCs w:val="17"/>
        </w:rPr>
        <w:t xml:space="preserve">contribuciones de mejoras, derechos, productos, aprovechamientos, </w:t>
      </w:r>
      <w:r>
        <w:rPr>
          <w:rFonts w:ascii="Arial" w:eastAsia="Calibri" w:hAnsi="Arial" w:cs="Arial"/>
          <w:spacing w:val="-1"/>
          <w:sz w:val="17"/>
          <w:szCs w:val="17"/>
        </w:rPr>
        <w:t>y de ingresos por venta de bienes y prestación de servicios</w:t>
      </w:r>
      <w:r w:rsidRPr="002D70DA">
        <w:rPr>
          <w:rFonts w:ascii="Arial" w:eastAsia="Calibri" w:hAnsi="Arial" w:cs="Arial"/>
          <w:spacing w:val="-1"/>
          <w:sz w:val="17"/>
          <w:szCs w:val="17"/>
        </w:rPr>
        <w:t xml:space="preserve">, </w:t>
      </w:r>
      <w:r w:rsidRPr="00E95F20">
        <w:rPr>
          <w:rFonts w:ascii="Arial" w:eastAsia="Calibri" w:hAnsi="Arial" w:cs="Arial"/>
          <w:spacing w:val="-1"/>
          <w:sz w:val="17"/>
          <w:szCs w:val="17"/>
        </w:rPr>
        <w:t>los cuales están armonizados con los rubros del Clasificador por Rubros de Ingresos,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los montos </w:t>
      </w:r>
      <w:r>
        <w:rPr>
          <w:rFonts w:ascii="Arial" w:eastAsia="Calibri" w:hAnsi="Arial" w:cs="Arial"/>
          <w:spacing w:val="-1"/>
          <w:sz w:val="17"/>
          <w:szCs w:val="17"/>
        </w:rPr>
        <w:t xml:space="preserve">totales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w:t>
      </w:r>
    </w:p>
    <w:p w:rsidR="006520E3" w:rsidRPr="002D70DA" w:rsidRDefault="006520E3" w:rsidP="006520E3">
      <w:pPr>
        <w:spacing w:before="80" w:line="250" w:lineRule="exact"/>
        <w:ind w:left="709"/>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404B46">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882163" w:rsidTr="00404B46">
        <w:trPr>
          <w:trHeight w:val="275"/>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E79D9" w:rsidRDefault="006520E3" w:rsidP="00137283">
            <w:pPr>
              <w:rPr>
                <w:rFonts w:ascii="Arial" w:hAnsi="Arial" w:cs="Arial"/>
                <w:b/>
                <w:sz w:val="17"/>
                <w:szCs w:val="17"/>
              </w:rPr>
            </w:pPr>
            <w:r w:rsidRPr="001E79D9">
              <w:rPr>
                <w:rFonts w:ascii="Arial" w:hAnsi="Arial" w:cs="Arial"/>
                <w:b/>
                <w:sz w:val="17"/>
                <w:szCs w:val="17"/>
              </w:rPr>
              <w:t>Impuestos</w:t>
            </w:r>
          </w:p>
        </w:tc>
        <w:tc>
          <w:tcPr>
            <w:tcW w:w="2180" w:type="dxa"/>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2,852,445,392 </w:t>
            </w:r>
          </w:p>
        </w:tc>
        <w:tc>
          <w:tcPr>
            <w:tcW w:w="2180" w:type="dxa"/>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2,798,519,962 </w:t>
            </w:r>
          </w:p>
        </w:tc>
      </w:tr>
      <w:tr w:rsidR="006520E3" w:rsidTr="00404B46">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Pr>
                <w:rFonts w:ascii="Arial" w:hAnsi="Arial" w:cs="Arial"/>
                <w:sz w:val="17"/>
                <w:szCs w:val="17"/>
              </w:rPr>
              <w:t>Impuestos Sobre l</w:t>
            </w:r>
            <w:r w:rsidRPr="00882163">
              <w:rPr>
                <w:rFonts w:ascii="Arial" w:hAnsi="Arial" w:cs="Arial"/>
                <w:sz w:val="17"/>
                <w:szCs w:val="17"/>
              </w:rPr>
              <w:t>os Ingresos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37,838,393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29,434,120 </w:t>
            </w:r>
          </w:p>
        </w:tc>
      </w:tr>
      <w:tr w:rsidR="006520E3"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Impuestos Sobre el Patrimonio</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346,831,205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519,658,825 </w:t>
            </w:r>
          </w:p>
        </w:tc>
      </w:tr>
      <w:tr w:rsidR="006520E3"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Impuestos Sob</w:t>
            </w:r>
            <w:r>
              <w:rPr>
                <w:rFonts w:ascii="Arial" w:hAnsi="Arial" w:cs="Arial"/>
                <w:sz w:val="17"/>
                <w:szCs w:val="17"/>
              </w:rPr>
              <w:t>re la Producción, el Consumo y l</w:t>
            </w:r>
            <w:r w:rsidRPr="00882163">
              <w:rPr>
                <w:rFonts w:ascii="Arial" w:hAnsi="Arial" w:cs="Arial"/>
                <w:sz w:val="17"/>
                <w:szCs w:val="17"/>
              </w:rPr>
              <w:t>as Transacciones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146,329,420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141,870,506 </w:t>
            </w:r>
          </w:p>
        </w:tc>
      </w:tr>
      <w:tr w:rsidR="006520E3"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Impuestos Sobre Nóminas y Asimilables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2,279,239,893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2,068,174,093 </w:t>
            </w:r>
          </w:p>
        </w:tc>
      </w:tr>
      <w:tr w:rsidR="006520E3"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Accesorios de Impuestos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41,814,652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37,405,966 </w:t>
            </w:r>
          </w:p>
        </w:tc>
      </w:tr>
      <w:tr w:rsidR="006520E3"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Otros Impuestos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391,829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1,976,452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CA04AA">
              <w:rPr>
                <w:rFonts w:ascii="Arial" w:hAnsi="Arial" w:cs="Arial"/>
                <w:b/>
                <w:sz w:val="17"/>
                <w:szCs w:val="17"/>
              </w:rPr>
              <w:t>Cuotas y Aportaciones de Seguridad Social</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Pr>
                <w:rFonts w:ascii="Arial" w:hAnsi="Arial" w:cs="Arial"/>
                <w:sz w:val="17"/>
                <w:szCs w:val="17"/>
              </w:rPr>
              <w:t>-</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CA04AA">
              <w:rPr>
                <w:rFonts w:ascii="Arial" w:hAnsi="Arial" w:cs="Arial"/>
                <w:b/>
                <w:sz w:val="17"/>
                <w:szCs w:val="17"/>
              </w:rPr>
              <w:t>Contribuciones de Mejoras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Pr>
                <w:rFonts w:ascii="Arial" w:hAnsi="Arial" w:cs="Arial"/>
                <w:sz w:val="17"/>
                <w:szCs w:val="17"/>
              </w:rPr>
              <w:t>-</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1E79D9">
              <w:rPr>
                <w:rFonts w:ascii="Arial" w:hAnsi="Arial" w:cs="Arial"/>
                <w:b/>
                <w:sz w:val="17"/>
                <w:szCs w:val="17"/>
              </w:rPr>
              <w:t>Derechos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1,515,341,379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1,418,134,802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Derechos por el Uso, Goce, Aprovechamiento o Explotación de Bienes de Dominio Público</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28,707,977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35,782,495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Derechos por Prestación de Servicios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1,458,940,598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1,362,390,905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Accesorios de Derechos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27,692,803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19,961,402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1E79D9">
              <w:rPr>
                <w:rFonts w:ascii="Arial" w:hAnsi="Arial" w:cs="Arial"/>
                <w:b/>
                <w:sz w:val="17"/>
                <w:szCs w:val="17"/>
              </w:rPr>
              <w:t>Productos de Tipo Corriente</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603,169,046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496,227,751 </w:t>
            </w:r>
          </w:p>
        </w:tc>
      </w:tr>
      <w:tr w:rsidR="006520E3" w:rsidRPr="00B611BE" w:rsidTr="00404B46">
        <w:trPr>
          <w:trHeight w:val="105"/>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Productos Derivados del Uso y Aprovechamiento de Bienes no Sujetos a Régimen de Dominio Público</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603,169,046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15,883,305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Pr>
                <w:rFonts w:ascii="Arial" w:hAnsi="Arial" w:cs="Arial"/>
                <w:sz w:val="17"/>
                <w:szCs w:val="17"/>
              </w:rPr>
              <w:t>Otros Productos q</w:t>
            </w:r>
            <w:r w:rsidRPr="00882163">
              <w:rPr>
                <w:rFonts w:ascii="Arial" w:hAnsi="Arial" w:cs="Arial"/>
                <w:sz w:val="17"/>
                <w:szCs w:val="17"/>
              </w:rPr>
              <w:t>ue Generan Ingresos Corrientes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480,344,447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1E79D9">
              <w:rPr>
                <w:rFonts w:ascii="Arial" w:hAnsi="Arial" w:cs="Arial"/>
                <w:b/>
                <w:sz w:val="17"/>
                <w:szCs w:val="17"/>
              </w:rPr>
              <w:t>Aprovechamientos de Tipo Corriente</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200,501,738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160,605,172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Incentivos Derivados de la Colaboración Fiscal</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Multas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149,731,914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105,499,012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Indemnizaciones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1,473,461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5,787,822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Reintegros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Pr>
                <w:rFonts w:ascii="Arial" w:hAnsi="Arial" w:cs="Arial"/>
                <w:sz w:val="17"/>
                <w:szCs w:val="17"/>
              </w:rPr>
              <w:t>-</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882163" w:rsidRDefault="006520E3" w:rsidP="00137283">
            <w:pPr>
              <w:ind w:left="634"/>
              <w:rPr>
                <w:rFonts w:ascii="Arial" w:hAnsi="Arial" w:cs="Arial"/>
                <w:sz w:val="17"/>
                <w:szCs w:val="17"/>
              </w:rPr>
            </w:pPr>
            <w:r w:rsidRPr="00882163">
              <w:rPr>
                <w:rFonts w:ascii="Arial" w:hAnsi="Arial" w:cs="Arial"/>
                <w:sz w:val="17"/>
                <w:szCs w:val="17"/>
              </w:rPr>
              <w:t>Otros Aprovechamientos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49,296,363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49,318,337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1E79D9">
              <w:rPr>
                <w:rFonts w:ascii="Arial" w:hAnsi="Arial" w:cs="Arial"/>
                <w:b/>
                <w:sz w:val="17"/>
                <w:szCs w:val="17"/>
              </w:rPr>
              <w:t>Ingresos por Venta de Bienes y Servicios</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218,613 </w:t>
            </w:r>
          </w:p>
        </w:tc>
      </w:tr>
      <w:tr w:rsidR="006520E3" w:rsidRPr="00B611BE" w:rsidTr="00404B46">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C61AD4" w:rsidRDefault="006520E3" w:rsidP="00137283">
            <w:pPr>
              <w:ind w:left="634"/>
              <w:rPr>
                <w:rFonts w:ascii="Arial" w:hAnsi="Arial" w:cs="Arial"/>
                <w:sz w:val="17"/>
                <w:szCs w:val="17"/>
              </w:rPr>
            </w:pPr>
            <w:r w:rsidRPr="00C61AD4">
              <w:rPr>
                <w:rFonts w:ascii="Arial" w:hAnsi="Arial" w:cs="Arial"/>
                <w:sz w:val="17"/>
                <w:szCs w:val="17"/>
              </w:rPr>
              <w:t>Ingresos por Venta de Bienes y Servicios Producidos en Establecimientos del Gobierno</w:t>
            </w:r>
          </w:p>
        </w:tc>
        <w:tc>
          <w:tcPr>
            <w:tcW w:w="2180" w:type="dxa"/>
            <w:tcBorders>
              <w:top w:val="nil"/>
              <w:left w:val="nil"/>
              <w:bottom w:val="single" w:sz="4" w:space="0" w:color="auto"/>
              <w:right w:val="single" w:sz="4" w:space="0" w:color="auto"/>
            </w:tcBorders>
            <w:shd w:val="clear" w:color="auto" w:fill="auto"/>
          </w:tcPr>
          <w:p w:rsidR="006520E3" w:rsidRPr="00C61AD4" w:rsidRDefault="006520E3" w:rsidP="00137283">
            <w:pPr>
              <w:jc w:val="right"/>
              <w:rPr>
                <w:rFonts w:ascii="Arial" w:hAnsi="Arial" w:cs="Arial"/>
                <w:sz w:val="17"/>
                <w:szCs w:val="17"/>
              </w:rPr>
            </w:pPr>
            <w:r w:rsidRPr="00C61AD4">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218,613 </w:t>
            </w:r>
          </w:p>
        </w:tc>
      </w:tr>
      <w:tr w:rsidR="006520E3" w:rsidRPr="00B611BE" w:rsidTr="00404B46">
        <w:trPr>
          <w:trHeight w:val="240"/>
          <w:jc w:val="center"/>
        </w:trPr>
        <w:tc>
          <w:tcPr>
            <w:tcW w:w="4900" w:type="dxa"/>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Ingresos de Gestión</w:t>
            </w:r>
          </w:p>
        </w:tc>
        <w:tc>
          <w:tcPr>
            <w:tcW w:w="2180" w:type="dxa"/>
            <w:tcBorders>
              <w:top w:val="single" w:sz="4" w:space="0" w:color="auto"/>
              <w:left w:val="single" w:sz="4" w:space="0" w:color="auto"/>
              <w:bottom w:val="single" w:sz="4" w:space="0" w:color="auto"/>
              <w:right w:val="single" w:sz="4" w:space="0" w:color="auto"/>
            </w:tcBorders>
            <w:shd w:val="clear" w:color="000000" w:fill="FFFFFF"/>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5,171,457,555 </w:t>
            </w:r>
          </w:p>
        </w:tc>
        <w:tc>
          <w:tcPr>
            <w:tcW w:w="2180" w:type="dxa"/>
            <w:tcBorders>
              <w:top w:val="single" w:sz="4" w:space="0" w:color="auto"/>
              <w:left w:val="nil"/>
              <w:bottom w:val="single" w:sz="4" w:space="0" w:color="auto"/>
              <w:right w:val="single" w:sz="4" w:space="0" w:color="auto"/>
            </w:tcBorders>
            <w:shd w:val="clear" w:color="000000" w:fill="FFFFFF"/>
            <w:noWrap/>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4,873,706,300 </w:t>
            </w:r>
          </w:p>
        </w:tc>
      </w:tr>
    </w:tbl>
    <w:p w:rsidR="00404B46" w:rsidRDefault="00404B46"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sidRPr="0096291F">
        <w:rPr>
          <w:rFonts w:ascii="Arial" w:eastAsia="Calibri" w:hAnsi="Arial" w:cs="Arial"/>
          <w:spacing w:val="-1"/>
          <w:sz w:val="17"/>
          <w:szCs w:val="17"/>
        </w:rPr>
        <w:t>Los ingresos de gestión reflejan un incremento del 6% derivado principalmente del aumento en la recaud</w:t>
      </w:r>
      <w:r w:rsidR="009079A2">
        <w:rPr>
          <w:rFonts w:ascii="Arial" w:eastAsia="Calibri" w:hAnsi="Arial" w:cs="Arial"/>
          <w:spacing w:val="-1"/>
          <w:sz w:val="17"/>
          <w:szCs w:val="17"/>
        </w:rPr>
        <w:t>ación del concepto del Impuesto</w:t>
      </w:r>
      <w:r w:rsidRPr="0096291F">
        <w:rPr>
          <w:rFonts w:ascii="Arial" w:eastAsia="Calibri" w:hAnsi="Arial" w:cs="Arial"/>
          <w:spacing w:val="-1"/>
          <w:sz w:val="17"/>
          <w:szCs w:val="17"/>
        </w:rPr>
        <w:t xml:space="preserve"> Sobre Nóminas y Asimilables.</w:t>
      </w:r>
    </w:p>
    <w:p w:rsidR="006520E3" w:rsidRPr="0057017D" w:rsidRDefault="006520E3" w:rsidP="006520E3">
      <w:pPr>
        <w:pStyle w:val="Prrafodelista"/>
        <w:numPr>
          <w:ilvl w:val="0"/>
          <w:numId w:val="14"/>
        </w:numPr>
        <w:spacing w:before="80" w:line="250" w:lineRule="exact"/>
        <w:jc w:val="both"/>
        <w:rPr>
          <w:rFonts w:ascii="Arial" w:eastAsia="Calibri" w:hAnsi="Arial" w:cs="Arial"/>
          <w:b/>
          <w:spacing w:val="-1"/>
          <w:sz w:val="17"/>
          <w:szCs w:val="17"/>
        </w:rPr>
      </w:pPr>
      <w:r w:rsidRPr="0057017D">
        <w:rPr>
          <w:rFonts w:ascii="Arial" w:eastAsia="Calibri" w:hAnsi="Arial" w:cs="Arial"/>
          <w:b/>
          <w:spacing w:val="-1"/>
          <w:sz w:val="17"/>
          <w:szCs w:val="17"/>
        </w:rPr>
        <w:lastRenderedPageBreak/>
        <w:t>Participaciones, Aportaciones, Convenios, Incentivos Derivados de la Colaboración Fiscal, Fondos Distintos de Aportaciones, Transferencias, Asignaciones, Subsidios y Subvenciones, y Pensiones y Jubilaciones</w:t>
      </w:r>
    </w:p>
    <w:p w:rsidR="006520E3" w:rsidRDefault="006520E3" w:rsidP="006520E3">
      <w:pPr>
        <w:pStyle w:val="Prrafodelista"/>
        <w:autoSpaceDE w:val="0"/>
        <w:autoSpaceDN w:val="0"/>
        <w:adjustRightInd w:val="0"/>
        <w:spacing w:before="80" w:after="120" w:line="250" w:lineRule="exact"/>
        <w:jc w:val="both"/>
        <w:rPr>
          <w:rFonts w:ascii="Arial" w:hAnsi="Arial" w:cs="Arial"/>
          <w:b/>
          <w:sz w:val="17"/>
          <w:szCs w:val="17"/>
        </w:rPr>
      </w:pPr>
    </w:p>
    <w:p w:rsidR="006520E3" w:rsidRPr="007C4622" w:rsidRDefault="006520E3" w:rsidP="006520E3">
      <w:pPr>
        <w:pStyle w:val="Prrafodelista"/>
        <w:autoSpaceDE w:val="0"/>
        <w:autoSpaceDN w:val="0"/>
        <w:adjustRightInd w:val="0"/>
        <w:spacing w:before="80" w:after="120" w:line="250" w:lineRule="exact"/>
        <w:jc w:val="both"/>
        <w:rPr>
          <w:rFonts w:ascii="Arial" w:eastAsia="Calibri" w:hAnsi="Arial" w:cs="Arial"/>
          <w:spacing w:val="-1"/>
          <w:sz w:val="17"/>
          <w:szCs w:val="17"/>
        </w:rPr>
      </w:pPr>
      <w:r>
        <w:rPr>
          <w:rFonts w:ascii="Arial" w:eastAsia="Calibri" w:hAnsi="Arial" w:cs="Arial"/>
          <w:spacing w:val="-1"/>
          <w:sz w:val="17"/>
          <w:szCs w:val="17"/>
        </w:rPr>
        <w:t>De las cuentas</w:t>
      </w:r>
      <w:r w:rsidRPr="007C4622">
        <w:rPr>
          <w:rFonts w:ascii="Arial" w:eastAsia="Calibri" w:hAnsi="Arial" w:cs="Arial"/>
          <w:spacing w:val="-1"/>
          <w:sz w:val="17"/>
          <w:szCs w:val="17"/>
        </w:rPr>
        <w:t xml:space="preserve"> de participaciones, aportaciones, convenios, incentivos derivados de la colaboración</w:t>
      </w:r>
      <w:r>
        <w:rPr>
          <w:rFonts w:ascii="Arial" w:eastAsia="Calibri" w:hAnsi="Arial" w:cs="Arial"/>
          <w:spacing w:val="-1"/>
          <w:sz w:val="17"/>
          <w:szCs w:val="17"/>
        </w:rPr>
        <w:t xml:space="preserve"> </w:t>
      </w:r>
      <w:r w:rsidRPr="007C4622">
        <w:rPr>
          <w:rFonts w:ascii="Arial" w:eastAsia="Calibri" w:hAnsi="Arial" w:cs="Arial"/>
          <w:spacing w:val="-1"/>
          <w:sz w:val="17"/>
          <w:szCs w:val="17"/>
        </w:rPr>
        <w:t>fiscal, fondos distintos de aportaciones, transferencias, asignaciones, subsidios y subvenciones, y</w:t>
      </w:r>
      <w:r>
        <w:rPr>
          <w:rFonts w:ascii="Arial" w:eastAsia="Calibri" w:hAnsi="Arial" w:cs="Arial"/>
          <w:spacing w:val="-1"/>
          <w:sz w:val="17"/>
          <w:szCs w:val="17"/>
        </w:rPr>
        <w:t xml:space="preserve"> </w:t>
      </w:r>
      <w:r w:rsidRPr="007C4622">
        <w:rPr>
          <w:rFonts w:ascii="Arial" w:eastAsia="Calibri" w:hAnsi="Arial" w:cs="Arial"/>
          <w:spacing w:val="-1"/>
          <w:sz w:val="17"/>
          <w:szCs w:val="17"/>
        </w:rPr>
        <w:t xml:space="preserve">pensiones y jubilaciones, se informa los montos totales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7C4622">
        <w:rPr>
          <w:rFonts w:ascii="Arial" w:eastAsia="Calibri" w:hAnsi="Arial" w:cs="Arial"/>
          <w:spacing w:val="-1"/>
          <w:sz w:val="17"/>
          <w:szCs w:val="17"/>
        </w:rPr>
        <w:t>:</w:t>
      </w:r>
    </w:p>
    <w:p w:rsidR="006520E3" w:rsidRPr="002D70DA" w:rsidRDefault="006520E3" w:rsidP="006520E3">
      <w:pPr>
        <w:spacing w:before="80" w:line="250" w:lineRule="exact"/>
        <w:ind w:left="709"/>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882163" w:rsidTr="00137283">
        <w:trPr>
          <w:trHeight w:val="275"/>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E79D9" w:rsidRDefault="006520E3" w:rsidP="00137283">
            <w:pPr>
              <w:rPr>
                <w:rFonts w:ascii="Arial" w:hAnsi="Arial" w:cs="Arial"/>
                <w:b/>
                <w:sz w:val="17"/>
                <w:szCs w:val="17"/>
              </w:rPr>
            </w:pPr>
            <w:r w:rsidRPr="00974E41">
              <w:rPr>
                <w:rFonts w:ascii="Arial" w:hAnsi="Arial" w:cs="Arial"/>
                <w:b/>
                <w:sz w:val="17"/>
                <w:szCs w:val="17"/>
              </w:rPr>
              <w:t>Participaciones</w:t>
            </w:r>
          </w:p>
        </w:tc>
        <w:tc>
          <w:tcPr>
            <w:tcW w:w="2180" w:type="dxa"/>
            <w:tcBorders>
              <w:top w:val="single" w:sz="4" w:space="0" w:color="auto"/>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14,809,056,392 </w:t>
            </w:r>
          </w:p>
        </w:tc>
        <w:tc>
          <w:tcPr>
            <w:tcW w:w="2180" w:type="dxa"/>
            <w:tcBorders>
              <w:top w:val="single" w:sz="4" w:space="0" w:color="auto"/>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15,335,309,479 </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974E41">
              <w:rPr>
                <w:rFonts w:ascii="Arial" w:hAnsi="Arial" w:cs="Arial"/>
                <w:b/>
                <w:sz w:val="17"/>
                <w:szCs w:val="17"/>
              </w:rPr>
              <w:t>Aportaciones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12,123,461,775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11,362,970,832 </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974E41" w:rsidRDefault="006520E3" w:rsidP="00137283">
            <w:pPr>
              <w:rPr>
                <w:rFonts w:ascii="Arial" w:hAnsi="Arial" w:cs="Arial"/>
                <w:b/>
                <w:sz w:val="17"/>
                <w:szCs w:val="17"/>
              </w:rPr>
            </w:pPr>
            <w:r>
              <w:rPr>
                <w:rFonts w:ascii="Arial" w:hAnsi="Arial" w:cs="Arial"/>
                <w:b/>
                <w:sz w:val="17"/>
                <w:szCs w:val="17"/>
              </w:rPr>
              <w:t>Convenios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4,095,781,812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5,676,922,860 </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Default="006520E3" w:rsidP="00137283">
            <w:pPr>
              <w:rPr>
                <w:rFonts w:ascii="Arial" w:hAnsi="Arial" w:cs="Arial"/>
                <w:b/>
                <w:sz w:val="17"/>
                <w:szCs w:val="17"/>
              </w:rPr>
            </w:pPr>
            <w:r w:rsidRPr="007C4622">
              <w:rPr>
                <w:rFonts w:ascii="Arial" w:hAnsi="Arial" w:cs="Arial"/>
                <w:b/>
                <w:sz w:val="17"/>
                <w:szCs w:val="17"/>
              </w:rPr>
              <w:t>Incentivos Derivados de la Colaboración Fiscal</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1,600,368,960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   </w:t>
            </w:r>
          </w:p>
        </w:tc>
      </w:tr>
      <w:tr w:rsidR="006520E3"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Default="006520E3" w:rsidP="00137283">
            <w:pPr>
              <w:rPr>
                <w:rFonts w:ascii="Arial" w:hAnsi="Arial" w:cs="Arial"/>
                <w:b/>
                <w:sz w:val="17"/>
                <w:szCs w:val="17"/>
              </w:rPr>
            </w:pPr>
            <w:r>
              <w:rPr>
                <w:rFonts w:ascii="Arial" w:hAnsi="Arial" w:cs="Arial"/>
                <w:b/>
                <w:sz w:val="17"/>
                <w:szCs w:val="17"/>
              </w:rPr>
              <w:t>Transferencias, Asignaciones, Subsidios y Subvenciones, y Pensiones y Jubilaciones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   </w:t>
            </w:r>
          </w:p>
        </w:tc>
      </w:tr>
      <w:tr w:rsidR="006520E3" w:rsidRPr="002D70DA" w:rsidTr="00137283">
        <w:trPr>
          <w:trHeight w:val="240"/>
          <w:jc w:val="center"/>
        </w:trPr>
        <w:tc>
          <w:tcPr>
            <w:tcW w:w="4900" w:type="dxa"/>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 xml:space="preserve">Total </w:t>
            </w:r>
          </w:p>
        </w:tc>
        <w:tc>
          <w:tcPr>
            <w:tcW w:w="2180" w:type="dxa"/>
            <w:tcBorders>
              <w:top w:val="nil"/>
              <w:left w:val="single" w:sz="4" w:space="0" w:color="auto"/>
              <w:bottom w:val="single" w:sz="4" w:space="0" w:color="auto"/>
              <w:right w:val="single" w:sz="4" w:space="0" w:color="auto"/>
            </w:tcBorders>
            <w:shd w:val="clear" w:color="000000" w:fill="FFFFFF"/>
            <w:hideMark/>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32,628,668,939 </w:t>
            </w:r>
          </w:p>
        </w:tc>
        <w:tc>
          <w:tcPr>
            <w:tcW w:w="2180" w:type="dxa"/>
            <w:tcBorders>
              <w:top w:val="single" w:sz="4" w:space="0" w:color="auto"/>
              <w:left w:val="nil"/>
              <w:bottom w:val="single" w:sz="4" w:space="0" w:color="auto"/>
              <w:right w:val="single" w:sz="4" w:space="0" w:color="auto"/>
            </w:tcBorders>
            <w:shd w:val="clear" w:color="000000" w:fill="FFFFFF"/>
            <w:noWrap/>
            <w:hideMark/>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32,375,203,171 </w:t>
            </w:r>
          </w:p>
        </w:tc>
      </w:tr>
    </w:tbl>
    <w:p w:rsidR="006520E3" w:rsidRPr="0096291F" w:rsidRDefault="006520E3" w:rsidP="00941B09">
      <w:pPr>
        <w:spacing w:before="80" w:line="250" w:lineRule="exact"/>
        <w:ind w:firstLine="708"/>
        <w:jc w:val="both"/>
        <w:rPr>
          <w:rFonts w:ascii="Arial" w:eastAsia="Calibri" w:hAnsi="Arial" w:cs="Arial"/>
          <w:spacing w:val="-1"/>
          <w:sz w:val="17"/>
          <w:szCs w:val="17"/>
        </w:rPr>
      </w:pPr>
      <w:r w:rsidRPr="0096291F">
        <w:rPr>
          <w:rFonts w:ascii="Arial" w:eastAsia="Calibri" w:hAnsi="Arial" w:cs="Arial"/>
          <w:spacing w:val="-1"/>
          <w:sz w:val="17"/>
          <w:szCs w:val="17"/>
        </w:rPr>
        <w:t>Las participaciones reflejan un decremento del 3%, derivado que en el ejercicio anterior los Incentivos Derivados de la Colaboración Fiscal se registraban en esta cuenta.</w:t>
      </w:r>
    </w:p>
    <w:p w:rsidR="004826A3" w:rsidRPr="004826A3" w:rsidRDefault="006520E3" w:rsidP="006520E3">
      <w:pPr>
        <w:spacing w:before="80" w:line="250" w:lineRule="exact"/>
        <w:ind w:left="709"/>
        <w:jc w:val="both"/>
        <w:rPr>
          <w:rFonts w:ascii="Arial" w:eastAsia="Calibri" w:hAnsi="Arial" w:cs="Arial"/>
          <w:spacing w:val="-1"/>
          <w:sz w:val="17"/>
          <w:szCs w:val="17"/>
        </w:rPr>
      </w:pPr>
      <w:r w:rsidRPr="004826A3">
        <w:rPr>
          <w:rFonts w:ascii="Arial" w:eastAsia="Calibri" w:hAnsi="Arial" w:cs="Arial"/>
          <w:spacing w:val="-1"/>
          <w:sz w:val="17"/>
          <w:szCs w:val="17"/>
        </w:rPr>
        <w:t>La cuenta de Aportaciones,</w:t>
      </w:r>
      <w:r w:rsidR="00593028">
        <w:rPr>
          <w:rFonts w:ascii="Arial" w:eastAsia="Calibri" w:hAnsi="Arial" w:cs="Arial"/>
          <w:spacing w:val="-1"/>
          <w:sz w:val="17"/>
          <w:szCs w:val="17"/>
        </w:rPr>
        <w:t xml:space="preserve"> presenta un incremento derivado </w:t>
      </w:r>
      <w:r w:rsidRPr="004826A3">
        <w:rPr>
          <w:rFonts w:ascii="Arial" w:eastAsia="Calibri" w:hAnsi="Arial" w:cs="Arial"/>
          <w:spacing w:val="-1"/>
          <w:sz w:val="17"/>
          <w:szCs w:val="17"/>
        </w:rPr>
        <w:t>del</w:t>
      </w:r>
      <w:r w:rsidR="00593028">
        <w:rPr>
          <w:rFonts w:ascii="Arial" w:eastAsia="Calibri" w:hAnsi="Arial" w:cs="Arial"/>
          <w:spacing w:val="-1"/>
          <w:sz w:val="17"/>
          <w:szCs w:val="17"/>
        </w:rPr>
        <w:t xml:space="preserve"> Fondo de Aportaciones para la N</w:t>
      </w:r>
      <w:r w:rsidRPr="004826A3">
        <w:rPr>
          <w:rFonts w:ascii="Arial" w:eastAsia="Calibri" w:hAnsi="Arial" w:cs="Arial"/>
          <w:spacing w:val="-1"/>
          <w:sz w:val="17"/>
          <w:szCs w:val="17"/>
        </w:rPr>
        <w:t>ómina Educativa Servicios Personales</w:t>
      </w:r>
      <w:r w:rsidR="004826A3" w:rsidRPr="004826A3">
        <w:rPr>
          <w:rFonts w:ascii="Arial" w:eastAsia="Calibri" w:hAnsi="Arial" w:cs="Arial"/>
          <w:spacing w:val="-1"/>
          <w:sz w:val="17"/>
          <w:szCs w:val="17"/>
        </w:rPr>
        <w:t xml:space="preserve"> y del Fondo de Aportaciones para el Fortalecimiento de los Municipios y Demarcaciones Territoriales. </w:t>
      </w:r>
    </w:p>
    <w:p w:rsidR="006520E3" w:rsidRPr="0096291F" w:rsidRDefault="006520E3" w:rsidP="006520E3">
      <w:pPr>
        <w:spacing w:before="80" w:line="250" w:lineRule="exact"/>
        <w:ind w:left="709"/>
        <w:jc w:val="both"/>
        <w:rPr>
          <w:rFonts w:ascii="Arial" w:eastAsia="Calibri" w:hAnsi="Arial" w:cs="Arial"/>
          <w:spacing w:val="-1"/>
          <w:sz w:val="17"/>
          <w:szCs w:val="17"/>
        </w:rPr>
      </w:pPr>
      <w:r w:rsidRPr="004826A3">
        <w:rPr>
          <w:rFonts w:ascii="Arial" w:eastAsia="Calibri" w:hAnsi="Arial" w:cs="Arial"/>
          <w:spacing w:val="-1"/>
          <w:sz w:val="17"/>
          <w:szCs w:val="17"/>
        </w:rPr>
        <w:t>Los Convenio</w:t>
      </w:r>
      <w:r w:rsidR="004826A3" w:rsidRPr="004826A3">
        <w:rPr>
          <w:rFonts w:ascii="Arial" w:eastAsia="Calibri" w:hAnsi="Arial" w:cs="Arial"/>
          <w:spacing w:val="-1"/>
          <w:sz w:val="17"/>
          <w:szCs w:val="17"/>
        </w:rPr>
        <w:t>s reflejan una decremento del 28</w:t>
      </w:r>
      <w:r w:rsidRPr="004826A3">
        <w:rPr>
          <w:rFonts w:ascii="Arial" w:eastAsia="Calibri" w:hAnsi="Arial" w:cs="Arial"/>
          <w:spacing w:val="-1"/>
          <w:sz w:val="17"/>
          <w:szCs w:val="17"/>
        </w:rPr>
        <w:t>% principalm</w:t>
      </w:r>
      <w:r w:rsidR="004826A3" w:rsidRPr="004826A3">
        <w:rPr>
          <w:rFonts w:ascii="Arial" w:eastAsia="Calibri" w:hAnsi="Arial" w:cs="Arial"/>
          <w:spacing w:val="-1"/>
          <w:sz w:val="17"/>
          <w:szCs w:val="17"/>
        </w:rPr>
        <w:t>ente en Convenios del Ramo 23, 04 y 21</w:t>
      </w:r>
      <w:r w:rsidRPr="004826A3">
        <w:rPr>
          <w:rFonts w:ascii="Arial" w:eastAsia="Calibri" w:hAnsi="Arial" w:cs="Arial"/>
          <w:spacing w:val="-1"/>
          <w:sz w:val="17"/>
          <w:szCs w:val="17"/>
        </w:rPr>
        <w:t xml:space="preserve"> por un importe de </w:t>
      </w:r>
      <w:r w:rsidR="004826A3" w:rsidRPr="004826A3">
        <w:rPr>
          <w:rFonts w:ascii="Arial" w:eastAsia="Calibri" w:hAnsi="Arial" w:cs="Arial"/>
          <w:spacing w:val="-1"/>
          <w:sz w:val="17"/>
          <w:szCs w:val="17"/>
        </w:rPr>
        <w:t xml:space="preserve">1,737,299,475, 51,733,886 y 51,574,699 </w:t>
      </w:r>
      <w:r w:rsidRPr="004826A3">
        <w:rPr>
          <w:rFonts w:ascii="Arial" w:eastAsia="Calibri" w:hAnsi="Arial" w:cs="Arial"/>
          <w:spacing w:val="-1"/>
          <w:sz w:val="17"/>
          <w:szCs w:val="17"/>
        </w:rPr>
        <w:t>respectivamente.</w:t>
      </w:r>
    </w:p>
    <w:p w:rsidR="006520E3" w:rsidRPr="005A42A7" w:rsidRDefault="006520E3" w:rsidP="006520E3">
      <w:pPr>
        <w:spacing w:before="80" w:line="250" w:lineRule="exact"/>
        <w:jc w:val="both"/>
        <w:rPr>
          <w:rFonts w:ascii="Arial" w:eastAsia="Calibri" w:hAnsi="Arial" w:cs="Arial"/>
          <w:spacing w:val="-1"/>
          <w:sz w:val="17"/>
          <w:szCs w:val="17"/>
        </w:rPr>
      </w:pPr>
      <w:r w:rsidRPr="0096291F">
        <w:rPr>
          <w:rFonts w:ascii="Arial" w:eastAsia="Calibri" w:hAnsi="Arial" w:cs="Arial"/>
          <w:spacing w:val="-1"/>
          <w:sz w:val="17"/>
          <w:szCs w:val="17"/>
        </w:rPr>
        <w:tab/>
        <w:t>En lo que respecta a Incentivos Derivados de la Colaboración Fiscal anteriormente se registraban en la cuenta de Participaciones.</w:t>
      </w:r>
      <w:r>
        <w:rPr>
          <w:rFonts w:ascii="Arial" w:eastAsia="Calibri" w:hAnsi="Arial" w:cs="Arial"/>
          <w:spacing w:val="-1"/>
          <w:sz w:val="17"/>
          <w:szCs w:val="17"/>
        </w:rPr>
        <w:t xml:space="preserve"> </w:t>
      </w:r>
    </w:p>
    <w:p w:rsidR="006520E3" w:rsidRPr="005A42A7"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pStyle w:val="Prrafodelista"/>
        <w:numPr>
          <w:ilvl w:val="0"/>
          <w:numId w:val="14"/>
        </w:numPr>
        <w:spacing w:before="80" w:line="250" w:lineRule="exact"/>
        <w:jc w:val="both"/>
        <w:rPr>
          <w:rFonts w:ascii="Arial" w:eastAsia="Calibri" w:hAnsi="Arial" w:cs="Arial"/>
          <w:b/>
          <w:spacing w:val="-1"/>
          <w:sz w:val="17"/>
          <w:szCs w:val="17"/>
        </w:rPr>
      </w:pPr>
      <w:r w:rsidRPr="001E50BC">
        <w:rPr>
          <w:rFonts w:ascii="Arial" w:eastAsia="Calibri" w:hAnsi="Arial" w:cs="Arial"/>
          <w:b/>
          <w:spacing w:val="-1"/>
          <w:sz w:val="17"/>
          <w:szCs w:val="17"/>
        </w:rPr>
        <w:t>Otros Ingresos y Beneficios</w:t>
      </w:r>
    </w:p>
    <w:p w:rsidR="006520E3" w:rsidRPr="001E50BC" w:rsidRDefault="006520E3" w:rsidP="006520E3">
      <w:pPr>
        <w:pStyle w:val="Prrafodelista"/>
        <w:spacing w:before="80" w:line="250" w:lineRule="exact"/>
        <w:jc w:val="both"/>
        <w:rPr>
          <w:rFonts w:ascii="Arial" w:eastAsia="Calibri" w:hAnsi="Arial" w:cs="Arial"/>
          <w:b/>
          <w:spacing w:val="-1"/>
          <w:sz w:val="17"/>
          <w:szCs w:val="17"/>
        </w:rPr>
      </w:pPr>
    </w:p>
    <w:p w:rsidR="006520E3" w:rsidRDefault="006520E3" w:rsidP="006520E3">
      <w:pPr>
        <w:pStyle w:val="Prrafodelista"/>
        <w:autoSpaceDE w:val="0"/>
        <w:autoSpaceDN w:val="0"/>
        <w:adjustRightInd w:val="0"/>
        <w:spacing w:before="80" w:after="120" w:line="250" w:lineRule="exact"/>
        <w:jc w:val="both"/>
        <w:rPr>
          <w:rFonts w:ascii="Arial" w:eastAsia="Calibri" w:hAnsi="Arial" w:cs="Arial"/>
          <w:spacing w:val="-1"/>
          <w:sz w:val="17"/>
          <w:szCs w:val="17"/>
        </w:rPr>
      </w:pPr>
      <w:r>
        <w:rPr>
          <w:rFonts w:ascii="Arial" w:eastAsia="Calibri" w:hAnsi="Arial" w:cs="Arial"/>
          <w:spacing w:val="-1"/>
          <w:sz w:val="17"/>
          <w:szCs w:val="17"/>
        </w:rPr>
        <w:t xml:space="preserve">De los rubros de Ingresos Financieros, Incremento por Variación de Inventarios, Disminución del Exceso de Estimaciones por Pérdida o Deterioro u Obsolescencia, Disminución del Exceso de Provisiones, y de Otros Ingresos y Beneficios Varios, </w:t>
      </w:r>
      <w:r w:rsidRPr="007C4622">
        <w:rPr>
          <w:rFonts w:ascii="Arial" w:eastAsia="Calibri" w:hAnsi="Arial" w:cs="Arial"/>
          <w:spacing w:val="-1"/>
          <w:sz w:val="17"/>
          <w:szCs w:val="17"/>
        </w:rPr>
        <w:t>se informa</w:t>
      </w:r>
      <w:r>
        <w:rPr>
          <w:rFonts w:ascii="Arial" w:eastAsia="Calibri" w:hAnsi="Arial" w:cs="Arial"/>
          <w:spacing w:val="-1"/>
          <w:sz w:val="17"/>
          <w:szCs w:val="17"/>
        </w:rPr>
        <w:t>n</w:t>
      </w:r>
      <w:r w:rsidRPr="007C4622">
        <w:rPr>
          <w:rFonts w:ascii="Arial" w:eastAsia="Calibri" w:hAnsi="Arial" w:cs="Arial"/>
          <w:spacing w:val="-1"/>
          <w:sz w:val="17"/>
          <w:szCs w:val="17"/>
        </w:rPr>
        <w:t xml:space="preserve"> los montos totales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7C4622">
        <w:rPr>
          <w:rFonts w:ascii="Arial" w:eastAsia="Calibri" w:hAnsi="Arial" w:cs="Arial"/>
          <w:spacing w:val="-1"/>
          <w:sz w:val="17"/>
          <w:szCs w:val="17"/>
        </w:rPr>
        <w:t>:</w:t>
      </w:r>
    </w:p>
    <w:p w:rsidR="006520E3" w:rsidRPr="002D70DA" w:rsidRDefault="006520E3" w:rsidP="006520E3">
      <w:pPr>
        <w:spacing w:before="80" w:line="250" w:lineRule="exact"/>
        <w:ind w:left="709"/>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137283">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F23571" w:rsidTr="00137283">
        <w:trPr>
          <w:trHeight w:val="275"/>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E79D9" w:rsidRDefault="006520E3" w:rsidP="00137283">
            <w:pPr>
              <w:rPr>
                <w:rFonts w:ascii="Arial" w:hAnsi="Arial" w:cs="Arial"/>
                <w:b/>
                <w:sz w:val="17"/>
                <w:szCs w:val="17"/>
              </w:rPr>
            </w:pPr>
            <w:r w:rsidRPr="00F03552">
              <w:rPr>
                <w:rFonts w:ascii="Arial" w:hAnsi="Arial" w:cs="Arial"/>
                <w:b/>
                <w:sz w:val="17"/>
                <w:szCs w:val="17"/>
              </w:rPr>
              <w:t>Ingresos Financieros</w:t>
            </w:r>
          </w:p>
        </w:tc>
        <w:tc>
          <w:tcPr>
            <w:tcW w:w="2180" w:type="dxa"/>
            <w:tcBorders>
              <w:top w:val="single" w:sz="4" w:space="0" w:color="auto"/>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w:t>
            </w:r>
          </w:p>
        </w:tc>
      </w:tr>
      <w:tr w:rsidR="006520E3" w:rsidRPr="00F23571"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E79D9" w:rsidRDefault="006520E3" w:rsidP="00137283">
            <w:pPr>
              <w:rPr>
                <w:rFonts w:ascii="Arial" w:hAnsi="Arial" w:cs="Arial"/>
                <w:b/>
                <w:sz w:val="17"/>
                <w:szCs w:val="17"/>
              </w:rPr>
            </w:pPr>
            <w:r w:rsidRPr="00F03552">
              <w:rPr>
                <w:rFonts w:ascii="Arial" w:hAnsi="Arial" w:cs="Arial"/>
                <w:b/>
                <w:sz w:val="17"/>
                <w:szCs w:val="17"/>
              </w:rPr>
              <w:t>Incremento por Variación de Inventarios</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w:t>
            </w:r>
          </w:p>
        </w:tc>
      </w:tr>
      <w:tr w:rsidR="006520E3" w:rsidRPr="00F23571"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974E41" w:rsidRDefault="006520E3" w:rsidP="00137283">
            <w:pPr>
              <w:rPr>
                <w:rFonts w:ascii="Arial" w:hAnsi="Arial" w:cs="Arial"/>
                <w:b/>
                <w:sz w:val="17"/>
                <w:szCs w:val="17"/>
              </w:rPr>
            </w:pPr>
            <w:r w:rsidRPr="00F03552">
              <w:rPr>
                <w:rFonts w:ascii="Arial" w:hAnsi="Arial" w:cs="Arial"/>
                <w:b/>
                <w:sz w:val="17"/>
                <w:szCs w:val="17"/>
              </w:rPr>
              <w:t>Disminución del Exceso de Estimaciones por Pérdida o Deterioro u Obsolescencia</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   </w:t>
            </w:r>
          </w:p>
        </w:tc>
      </w:tr>
      <w:tr w:rsidR="006520E3" w:rsidRPr="00F23571"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Default="006520E3" w:rsidP="00137283">
            <w:pPr>
              <w:rPr>
                <w:rFonts w:ascii="Arial" w:hAnsi="Arial" w:cs="Arial"/>
                <w:b/>
                <w:sz w:val="17"/>
                <w:szCs w:val="17"/>
              </w:rPr>
            </w:pPr>
            <w:r w:rsidRPr="00F03552">
              <w:rPr>
                <w:rFonts w:ascii="Arial" w:hAnsi="Arial" w:cs="Arial"/>
                <w:b/>
                <w:sz w:val="17"/>
                <w:szCs w:val="17"/>
              </w:rPr>
              <w:t>Disminución del Exceso de Provisiones</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 -   </w:t>
            </w:r>
          </w:p>
        </w:tc>
      </w:tr>
      <w:tr w:rsidR="006520E3" w:rsidRPr="00F23571"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Default="006520E3" w:rsidP="00137283">
            <w:pPr>
              <w:rPr>
                <w:rFonts w:ascii="Arial" w:hAnsi="Arial" w:cs="Arial"/>
                <w:b/>
                <w:sz w:val="17"/>
                <w:szCs w:val="17"/>
              </w:rPr>
            </w:pPr>
            <w:r w:rsidRPr="00F03552">
              <w:rPr>
                <w:rFonts w:ascii="Arial" w:hAnsi="Arial" w:cs="Arial"/>
                <w:b/>
                <w:sz w:val="17"/>
                <w:szCs w:val="17"/>
              </w:rPr>
              <w:t>Otros Ingresos y Beneficios Varios</w:t>
            </w:r>
          </w:p>
        </w:tc>
        <w:tc>
          <w:tcPr>
            <w:tcW w:w="2180" w:type="dxa"/>
            <w:tcBorders>
              <w:top w:val="nil"/>
              <w:left w:val="nil"/>
              <w:bottom w:val="single" w:sz="4" w:space="0" w:color="auto"/>
              <w:right w:val="single" w:sz="4" w:space="0" w:color="auto"/>
            </w:tcBorders>
            <w:shd w:val="clear" w:color="auto" w:fill="auto"/>
          </w:tcPr>
          <w:p w:rsidR="006520E3" w:rsidRPr="00666FE1" w:rsidRDefault="00AE63AF" w:rsidP="00137283">
            <w:pPr>
              <w:jc w:val="right"/>
              <w:rPr>
                <w:rFonts w:ascii="Arial" w:hAnsi="Arial" w:cs="Arial"/>
                <w:sz w:val="17"/>
                <w:szCs w:val="17"/>
                <w:highlight w:val="yellow"/>
              </w:rPr>
            </w:pPr>
            <w:r>
              <w:rPr>
                <w:rFonts w:ascii="Arial" w:hAnsi="Arial" w:cs="Arial"/>
                <w:sz w:val="17"/>
                <w:szCs w:val="17"/>
              </w:rPr>
              <w:t>2,397,201,718</w:t>
            </w:r>
          </w:p>
        </w:tc>
        <w:tc>
          <w:tcPr>
            <w:tcW w:w="2180" w:type="dxa"/>
            <w:tcBorders>
              <w:top w:val="nil"/>
              <w:left w:val="nil"/>
              <w:bottom w:val="single" w:sz="4" w:space="0" w:color="auto"/>
              <w:right w:val="single" w:sz="4" w:space="0" w:color="auto"/>
            </w:tcBorders>
            <w:shd w:val="clear" w:color="auto" w:fill="auto"/>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5,554,307,098 </w:t>
            </w:r>
          </w:p>
        </w:tc>
      </w:tr>
      <w:tr w:rsidR="006520E3" w:rsidRPr="00F23571" w:rsidTr="00137283">
        <w:trPr>
          <w:trHeight w:val="240"/>
          <w:jc w:val="center"/>
        </w:trPr>
        <w:tc>
          <w:tcPr>
            <w:tcW w:w="4900" w:type="dxa"/>
            <w:tcBorders>
              <w:top w:val="nil"/>
              <w:left w:val="nil"/>
              <w:bottom w:val="nil"/>
              <w:right w:val="nil"/>
            </w:tcBorders>
            <w:shd w:val="clear" w:color="000000" w:fill="FFFFFF"/>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 xml:space="preserve">Total </w:t>
            </w:r>
          </w:p>
        </w:tc>
        <w:tc>
          <w:tcPr>
            <w:tcW w:w="2180" w:type="dxa"/>
            <w:tcBorders>
              <w:top w:val="nil"/>
              <w:left w:val="single" w:sz="4" w:space="0" w:color="auto"/>
              <w:bottom w:val="single" w:sz="4" w:space="0" w:color="auto"/>
              <w:right w:val="single" w:sz="4" w:space="0" w:color="auto"/>
            </w:tcBorders>
            <w:shd w:val="clear" w:color="000000" w:fill="FFFFFF"/>
            <w:hideMark/>
          </w:tcPr>
          <w:p w:rsidR="006520E3" w:rsidRPr="00666FE1" w:rsidRDefault="00AE63AF" w:rsidP="00137283">
            <w:pPr>
              <w:jc w:val="right"/>
              <w:rPr>
                <w:rFonts w:ascii="Arial" w:hAnsi="Arial" w:cs="Arial"/>
                <w:sz w:val="17"/>
                <w:szCs w:val="17"/>
                <w:highlight w:val="yellow"/>
              </w:rPr>
            </w:pPr>
            <w:r>
              <w:rPr>
                <w:rFonts w:ascii="Arial" w:hAnsi="Arial" w:cs="Arial"/>
                <w:sz w:val="17"/>
                <w:szCs w:val="17"/>
              </w:rPr>
              <w:t>2,397,201,718</w:t>
            </w:r>
          </w:p>
        </w:tc>
        <w:tc>
          <w:tcPr>
            <w:tcW w:w="2180" w:type="dxa"/>
            <w:tcBorders>
              <w:top w:val="single" w:sz="4" w:space="0" w:color="auto"/>
              <w:left w:val="nil"/>
              <w:bottom w:val="single" w:sz="4" w:space="0" w:color="auto"/>
              <w:right w:val="single" w:sz="4" w:space="0" w:color="auto"/>
            </w:tcBorders>
            <w:shd w:val="clear" w:color="000000" w:fill="FFFFFF"/>
            <w:noWrap/>
            <w:hideMark/>
          </w:tcPr>
          <w:p w:rsidR="006520E3" w:rsidRPr="00F23571" w:rsidRDefault="006520E3" w:rsidP="00137283">
            <w:pPr>
              <w:jc w:val="right"/>
              <w:rPr>
                <w:rFonts w:ascii="Arial" w:hAnsi="Arial" w:cs="Arial"/>
                <w:sz w:val="17"/>
                <w:szCs w:val="17"/>
              </w:rPr>
            </w:pPr>
            <w:r w:rsidRPr="00F23571">
              <w:rPr>
                <w:rFonts w:ascii="Arial" w:hAnsi="Arial" w:cs="Arial"/>
                <w:sz w:val="17"/>
                <w:szCs w:val="17"/>
              </w:rPr>
              <w:t xml:space="preserve">5,554,307,098 </w:t>
            </w:r>
          </w:p>
        </w:tc>
      </w:tr>
    </w:tbl>
    <w:p w:rsidR="006520E3" w:rsidRDefault="006520E3" w:rsidP="004826A3">
      <w:pPr>
        <w:spacing w:before="80" w:line="250" w:lineRule="exact"/>
        <w:ind w:left="709"/>
        <w:jc w:val="both"/>
        <w:rPr>
          <w:rFonts w:ascii="Arial" w:eastAsia="Calibri" w:hAnsi="Arial" w:cs="Arial"/>
          <w:spacing w:val="-1"/>
          <w:sz w:val="17"/>
          <w:szCs w:val="17"/>
        </w:rPr>
      </w:pPr>
      <w:r w:rsidRPr="0061701E">
        <w:rPr>
          <w:rFonts w:ascii="Arial" w:eastAsia="Calibri" w:hAnsi="Arial" w:cs="Arial"/>
          <w:spacing w:val="-1"/>
          <w:sz w:val="17"/>
          <w:szCs w:val="17"/>
        </w:rPr>
        <w:t xml:space="preserve">En este rubro se presenta la cantidad de </w:t>
      </w:r>
      <w:r w:rsidR="00AE63AF" w:rsidRPr="0061701E">
        <w:rPr>
          <w:rFonts w:ascii="Arial" w:hAnsi="Arial" w:cs="Arial"/>
          <w:sz w:val="17"/>
          <w:szCs w:val="17"/>
        </w:rPr>
        <w:t>2</w:t>
      </w:r>
      <w:proofErr w:type="gramStart"/>
      <w:r w:rsidR="00AE63AF" w:rsidRPr="0061701E">
        <w:rPr>
          <w:rFonts w:ascii="Arial" w:hAnsi="Arial" w:cs="Arial"/>
          <w:sz w:val="17"/>
          <w:szCs w:val="17"/>
        </w:rPr>
        <w:t>,397,201,718</w:t>
      </w:r>
      <w:proofErr w:type="gramEnd"/>
      <w:r w:rsidR="00AE63AF" w:rsidRPr="0061701E">
        <w:rPr>
          <w:rFonts w:ascii="Arial" w:hAnsi="Arial" w:cs="Arial"/>
          <w:sz w:val="17"/>
          <w:szCs w:val="17"/>
        </w:rPr>
        <w:t xml:space="preserve"> </w:t>
      </w:r>
      <w:r w:rsidRPr="0061701E">
        <w:rPr>
          <w:rFonts w:ascii="Arial" w:eastAsia="Calibri" w:hAnsi="Arial" w:cs="Arial"/>
          <w:spacing w:val="-1"/>
          <w:sz w:val="17"/>
          <w:szCs w:val="17"/>
        </w:rPr>
        <w:t>correspondiente al reconocimiento de los ingresos contables no presupuestales de Fideicomisos</w:t>
      </w:r>
      <w:r w:rsidR="0061701E" w:rsidRPr="0061701E">
        <w:rPr>
          <w:rFonts w:ascii="Arial" w:eastAsia="Calibri" w:hAnsi="Arial" w:cs="Arial"/>
          <w:spacing w:val="-1"/>
          <w:sz w:val="17"/>
          <w:szCs w:val="17"/>
        </w:rPr>
        <w:t xml:space="preserve"> y a la Participación de la Hacienda Pública que tiene el Poder Ejecutivo en las Entidades Paraestatales.</w:t>
      </w:r>
    </w:p>
    <w:p w:rsidR="00593028" w:rsidRPr="004826A3" w:rsidRDefault="00593028" w:rsidP="004826A3">
      <w:pPr>
        <w:spacing w:before="80" w:line="250" w:lineRule="exact"/>
        <w:ind w:left="709"/>
        <w:jc w:val="both"/>
        <w:rPr>
          <w:rFonts w:ascii="Arial" w:eastAsia="Calibri" w:hAnsi="Arial" w:cs="Arial"/>
          <w:spacing w:val="-1"/>
          <w:sz w:val="17"/>
          <w:szCs w:val="17"/>
        </w:rPr>
      </w:pPr>
    </w:p>
    <w:p w:rsidR="006520E3" w:rsidRDefault="006520E3" w:rsidP="006520E3">
      <w:pPr>
        <w:rPr>
          <w:rFonts w:ascii="Arial" w:hAnsi="Arial" w:cs="Arial"/>
          <w:b/>
          <w:sz w:val="17"/>
          <w:szCs w:val="17"/>
        </w:rPr>
      </w:pPr>
      <w:r w:rsidRPr="00A8264F">
        <w:rPr>
          <w:rFonts w:ascii="Arial" w:hAnsi="Arial" w:cs="Arial"/>
          <w:b/>
          <w:sz w:val="17"/>
          <w:szCs w:val="17"/>
        </w:rPr>
        <w:t>Gastos y otras pérdidas</w:t>
      </w:r>
    </w:p>
    <w:p w:rsidR="006520E3" w:rsidRPr="00A8264F" w:rsidRDefault="006520E3" w:rsidP="006520E3">
      <w:pPr>
        <w:rPr>
          <w:rFonts w:ascii="Arial" w:hAnsi="Arial" w:cs="Arial"/>
          <w:b/>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Del</w:t>
      </w:r>
      <w:r>
        <w:rPr>
          <w:rFonts w:ascii="Arial" w:eastAsia="Calibri" w:hAnsi="Arial" w:cs="Arial"/>
          <w:spacing w:val="-1"/>
          <w:sz w:val="17"/>
          <w:szCs w:val="17"/>
        </w:rPr>
        <w:t xml:space="preserve"> género de Gastos y otras pérdidas se informan los grupos de Gastos de Funcionamiento; </w:t>
      </w:r>
      <w:r w:rsidRPr="00E33439">
        <w:rPr>
          <w:rFonts w:ascii="Arial" w:eastAsia="Calibri" w:hAnsi="Arial" w:cs="Arial"/>
          <w:spacing w:val="-1"/>
          <w:sz w:val="17"/>
          <w:szCs w:val="17"/>
        </w:rPr>
        <w:t>Transferencias, Asignaciones, Subsidios y Otras Ayudas</w:t>
      </w:r>
      <w:r>
        <w:rPr>
          <w:rFonts w:ascii="Arial" w:eastAsia="Calibri" w:hAnsi="Arial" w:cs="Arial"/>
          <w:spacing w:val="-1"/>
          <w:sz w:val="17"/>
          <w:szCs w:val="17"/>
        </w:rPr>
        <w:t xml:space="preserve">; </w:t>
      </w:r>
      <w:r w:rsidRPr="00E33439">
        <w:rPr>
          <w:rFonts w:ascii="Arial" w:eastAsia="Calibri" w:hAnsi="Arial" w:cs="Arial"/>
          <w:spacing w:val="-1"/>
          <w:sz w:val="17"/>
          <w:szCs w:val="17"/>
        </w:rPr>
        <w:t>Participaciones y Aportaciones</w:t>
      </w:r>
      <w:r>
        <w:rPr>
          <w:rFonts w:ascii="Arial" w:eastAsia="Calibri" w:hAnsi="Arial" w:cs="Arial"/>
          <w:spacing w:val="-1"/>
          <w:sz w:val="17"/>
          <w:szCs w:val="17"/>
        </w:rPr>
        <w:t xml:space="preserve">; </w:t>
      </w:r>
      <w:r w:rsidRPr="00E33439">
        <w:rPr>
          <w:rFonts w:ascii="Arial" w:eastAsia="Calibri" w:hAnsi="Arial" w:cs="Arial"/>
          <w:spacing w:val="-1"/>
          <w:sz w:val="17"/>
          <w:szCs w:val="17"/>
        </w:rPr>
        <w:t>Intereses, Comisiones y Otros Gastos de la Deuda Pública</w:t>
      </w:r>
      <w:r>
        <w:rPr>
          <w:rFonts w:ascii="Arial" w:eastAsia="Calibri" w:hAnsi="Arial" w:cs="Arial"/>
          <w:spacing w:val="-1"/>
          <w:sz w:val="17"/>
          <w:szCs w:val="17"/>
        </w:rPr>
        <w:t xml:space="preserve">; </w:t>
      </w:r>
      <w:r w:rsidRPr="00E33439">
        <w:rPr>
          <w:rFonts w:ascii="Arial" w:eastAsia="Calibri" w:hAnsi="Arial" w:cs="Arial"/>
          <w:spacing w:val="-1"/>
          <w:sz w:val="17"/>
          <w:szCs w:val="17"/>
        </w:rPr>
        <w:t>Otros Gastos y Pérdidas Extraordinarias</w:t>
      </w:r>
      <w:r>
        <w:rPr>
          <w:rFonts w:ascii="Arial" w:eastAsia="Calibri" w:hAnsi="Arial" w:cs="Arial"/>
          <w:spacing w:val="-1"/>
          <w:sz w:val="17"/>
          <w:szCs w:val="17"/>
        </w:rPr>
        <w:t xml:space="preserve">; e </w:t>
      </w:r>
      <w:r w:rsidRPr="00E33439">
        <w:rPr>
          <w:rFonts w:ascii="Arial" w:eastAsia="Calibri" w:hAnsi="Arial" w:cs="Arial"/>
          <w:spacing w:val="-1"/>
          <w:sz w:val="17"/>
          <w:szCs w:val="17"/>
        </w:rPr>
        <w:t>Inversión Pública</w:t>
      </w:r>
      <w:r w:rsidRPr="002D70DA">
        <w:rPr>
          <w:rFonts w:ascii="Arial" w:eastAsia="Calibri" w:hAnsi="Arial" w:cs="Arial"/>
          <w:spacing w:val="-1"/>
          <w:sz w:val="17"/>
          <w:szCs w:val="17"/>
        </w:rPr>
        <w:t xml:space="preserve">, los montos totales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D70DA">
        <w:rPr>
          <w:rFonts w:ascii="Arial" w:eastAsia="Calibri" w:hAnsi="Arial" w:cs="Arial"/>
          <w:spacing w:val="-1"/>
          <w:sz w:val="17"/>
          <w:szCs w:val="17"/>
        </w:rPr>
        <w:t>:</w:t>
      </w:r>
      <w:r>
        <w:rPr>
          <w:rFonts w:ascii="Arial" w:eastAsia="Calibri" w:hAnsi="Arial" w:cs="Arial"/>
          <w:spacing w:val="-1"/>
          <w:sz w:val="17"/>
          <w:szCs w:val="17"/>
        </w:rPr>
        <w:tab/>
      </w:r>
      <w:r>
        <w:rPr>
          <w:rFonts w:ascii="Arial" w:eastAsia="Calibri" w:hAnsi="Arial" w:cs="Arial"/>
          <w:spacing w:val="-1"/>
          <w:sz w:val="17"/>
          <w:szCs w:val="17"/>
        </w:rPr>
        <w:tab/>
      </w:r>
      <w:r>
        <w:rPr>
          <w:rFonts w:ascii="Arial" w:eastAsia="Calibri" w:hAnsi="Arial" w:cs="Arial"/>
          <w:spacing w:val="-1"/>
          <w:sz w:val="17"/>
          <w:szCs w:val="17"/>
        </w:rPr>
        <w:tab/>
      </w:r>
      <w:r>
        <w:rPr>
          <w:rFonts w:ascii="Arial" w:eastAsia="Calibri" w:hAnsi="Arial" w:cs="Arial"/>
          <w:spacing w:val="-1"/>
          <w:sz w:val="17"/>
          <w:szCs w:val="17"/>
        </w:rPr>
        <w:tab/>
      </w:r>
      <w:r>
        <w:rPr>
          <w:rFonts w:ascii="Arial" w:eastAsia="Calibri" w:hAnsi="Arial" w:cs="Arial"/>
          <w:spacing w:val="-1"/>
          <w:sz w:val="17"/>
          <w:szCs w:val="17"/>
        </w:rPr>
        <w:tab/>
      </w:r>
      <w:r>
        <w:rPr>
          <w:rFonts w:ascii="Arial" w:eastAsia="Calibri" w:hAnsi="Arial" w:cs="Arial"/>
          <w:spacing w:val="-1"/>
          <w:sz w:val="17"/>
          <w:szCs w:val="17"/>
        </w:rPr>
        <w:tab/>
      </w:r>
    </w:p>
    <w:p w:rsidR="006520E3" w:rsidRPr="00B817BF" w:rsidRDefault="006520E3" w:rsidP="006520E3">
      <w:pPr>
        <w:spacing w:before="80" w:line="250" w:lineRule="exact"/>
        <w:ind w:left="6381"/>
        <w:jc w:val="both"/>
        <w:rPr>
          <w:rFonts w:ascii="Arial" w:eastAsia="Calibri" w:hAnsi="Arial" w:cs="Arial"/>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2D70DA" w:rsidTr="00AE63AF">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D70DA"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882163" w:rsidTr="00AE63AF">
        <w:trPr>
          <w:trHeight w:val="347"/>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E79D9" w:rsidRDefault="006520E3" w:rsidP="00137283">
            <w:pPr>
              <w:rPr>
                <w:rFonts w:ascii="Arial" w:hAnsi="Arial" w:cs="Arial"/>
                <w:b/>
                <w:sz w:val="17"/>
                <w:szCs w:val="17"/>
              </w:rPr>
            </w:pPr>
            <w:r>
              <w:rPr>
                <w:rFonts w:ascii="Arial" w:hAnsi="Arial" w:cs="Arial"/>
                <w:b/>
                <w:sz w:val="17"/>
                <w:szCs w:val="17"/>
              </w:rPr>
              <w:t>Gastos de Funcionamiento</w:t>
            </w:r>
          </w:p>
        </w:tc>
        <w:tc>
          <w:tcPr>
            <w:tcW w:w="2180" w:type="dxa"/>
            <w:tcBorders>
              <w:top w:val="single" w:sz="4" w:space="0" w:color="auto"/>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3,638,959,638 </w:t>
            </w:r>
          </w:p>
        </w:tc>
        <w:tc>
          <w:tcPr>
            <w:tcW w:w="2180" w:type="dxa"/>
            <w:tcBorders>
              <w:top w:val="single" w:sz="4" w:space="0" w:color="auto"/>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3,416,155,140 </w:t>
            </w:r>
          </w:p>
        </w:tc>
      </w:tr>
      <w:tr w:rsidR="006520E3" w:rsidTr="00AE63AF">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5343C" w:rsidRDefault="006520E3" w:rsidP="00137283">
            <w:pPr>
              <w:ind w:left="634"/>
              <w:rPr>
                <w:rFonts w:ascii="Arial" w:hAnsi="Arial" w:cs="Arial"/>
                <w:sz w:val="17"/>
                <w:szCs w:val="17"/>
              </w:rPr>
            </w:pPr>
            <w:r w:rsidRPr="0015343C">
              <w:rPr>
                <w:rFonts w:ascii="Arial" w:hAnsi="Arial" w:cs="Arial"/>
                <w:sz w:val="17"/>
                <w:szCs w:val="17"/>
              </w:rPr>
              <w:t>Servicios Personales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2,122,220,188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1,988,935,615 </w:t>
            </w:r>
          </w:p>
        </w:tc>
      </w:tr>
      <w:tr w:rsidR="006520E3"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5343C" w:rsidRDefault="006520E3" w:rsidP="00137283">
            <w:pPr>
              <w:ind w:left="634"/>
              <w:rPr>
                <w:rFonts w:ascii="Arial" w:hAnsi="Arial" w:cs="Arial"/>
                <w:sz w:val="17"/>
                <w:szCs w:val="17"/>
              </w:rPr>
            </w:pPr>
            <w:r w:rsidRPr="0015343C">
              <w:rPr>
                <w:rFonts w:ascii="Arial" w:hAnsi="Arial" w:cs="Arial"/>
                <w:sz w:val="17"/>
                <w:szCs w:val="17"/>
              </w:rPr>
              <w:t>Materiales y Suministros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235,544,378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280,657,529 </w:t>
            </w:r>
          </w:p>
        </w:tc>
      </w:tr>
      <w:tr w:rsidR="006520E3"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15343C" w:rsidRDefault="006520E3" w:rsidP="00137283">
            <w:pPr>
              <w:ind w:left="634"/>
              <w:rPr>
                <w:rFonts w:ascii="Arial" w:hAnsi="Arial" w:cs="Arial"/>
                <w:sz w:val="17"/>
                <w:szCs w:val="17"/>
              </w:rPr>
            </w:pPr>
            <w:r w:rsidRPr="0015343C">
              <w:rPr>
                <w:rFonts w:ascii="Arial" w:hAnsi="Arial" w:cs="Arial"/>
                <w:sz w:val="17"/>
                <w:szCs w:val="17"/>
              </w:rPr>
              <w:t>Servicios Generales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1,281,195,072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1,146,561,996 </w:t>
            </w:r>
          </w:p>
        </w:tc>
      </w:tr>
      <w:tr w:rsidR="006520E3"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69430E" w:rsidRDefault="006520E3" w:rsidP="00137283">
            <w:pPr>
              <w:rPr>
                <w:rFonts w:ascii="Arial" w:hAnsi="Arial" w:cs="Arial"/>
                <w:b/>
                <w:sz w:val="17"/>
                <w:szCs w:val="17"/>
              </w:rPr>
            </w:pPr>
            <w:r w:rsidRPr="0069430E">
              <w:rPr>
                <w:rFonts w:ascii="Arial" w:hAnsi="Arial" w:cs="Arial"/>
                <w:b/>
                <w:sz w:val="17"/>
                <w:szCs w:val="17"/>
              </w:rPr>
              <w:t>Transferencias, Asignaciones, Subsidios y Otras Ayudas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22,479,196,989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22,193,612,655 </w:t>
            </w:r>
          </w:p>
        </w:tc>
      </w:tr>
      <w:tr w:rsidR="006520E3"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69430E" w:rsidRDefault="006520E3" w:rsidP="00137283">
            <w:pPr>
              <w:rPr>
                <w:rFonts w:ascii="Arial" w:hAnsi="Arial" w:cs="Arial"/>
                <w:b/>
                <w:sz w:val="17"/>
                <w:szCs w:val="17"/>
              </w:rPr>
            </w:pPr>
            <w:r w:rsidRPr="0069430E">
              <w:rPr>
                <w:rFonts w:ascii="Arial" w:hAnsi="Arial" w:cs="Arial"/>
                <w:b/>
                <w:sz w:val="17"/>
                <w:szCs w:val="17"/>
              </w:rPr>
              <w:t>Participaciones y Aportaciones</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9,763,311,367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9,468,103,942 </w:t>
            </w:r>
          </w:p>
        </w:tc>
      </w:tr>
      <w:tr w:rsidR="006520E3" w:rsidRPr="001E79D9"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69430E" w:rsidRDefault="006520E3" w:rsidP="00137283">
            <w:pPr>
              <w:rPr>
                <w:rFonts w:ascii="Arial" w:hAnsi="Arial" w:cs="Arial"/>
                <w:b/>
                <w:sz w:val="17"/>
                <w:szCs w:val="17"/>
              </w:rPr>
            </w:pPr>
            <w:r w:rsidRPr="0069430E">
              <w:rPr>
                <w:rFonts w:ascii="Arial" w:hAnsi="Arial" w:cs="Arial"/>
                <w:b/>
                <w:sz w:val="17"/>
                <w:szCs w:val="17"/>
              </w:rPr>
              <w:t>Intereses, Comisiones y Otros Gastos de la Deuda Pública</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38,039,194 </w:t>
            </w:r>
          </w:p>
        </w:tc>
        <w:tc>
          <w:tcPr>
            <w:tcW w:w="2180" w:type="dxa"/>
            <w:tcBorders>
              <w:top w:val="nil"/>
              <w:left w:val="nil"/>
              <w:bottom w:val="single" w:sz="4" w:space="0" w:color="auto"/>
              <w:right w:val="single" w:sz="4" w:space="0" w:color="auto"/>
            </w:tcBorders>
            <w:shd w:val="clear" w:color="auto" w:fill="auto"/>
          </w:tcPr>
          <w:p w:rsidR="006520E3" w:rsidRPr="005178E9" w:rsidRDefault="006520E3" w:rsidP="00137283">
            <w:pPr>
              <w:jc w:val="right"/>
              <w:rPr>
                <w:rFonts w:ascii="Arial" w:hAnsi="Arial" w:cs="Arial"/>
                <w:sz w:val="17"/>
                <w:szCs w:val="17"/>
              </w:rPr>
            </w:pPr>
            <w:r w:rsidRPr="00941BEA">
              <w:rPr>
                <w:rFonts w:ascii="Arial" w:hAnsi="Arial" w:cs="Arial"/>
                <w:sz w:val="17"/>
                <w:szCs w:val="17"/>
              </w:rPr>
              <w:t xml:space="preserve"> 51,695,146 </w:t>
            </w:r>
          </w:p>
        </w:tc>
      </w:tr>
      <w:tr w:rsidR="00AE63AF"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AE63AF" w:rsidRPr="0069430E" w:rsidRDefault="00AE63AF" w:rsidP="00AE63AF">
            <w:pPr>
              <w:rPr>
                <w:rFonts w:ascii="Arial" w:hAnsi="Arial" w:cs="Arial"/>
                <w:b/>
                <w:sz w:val="17"/>
                <w:szCs w:val="17"/>
              </w:rPr>
            </w:pPr>
            <w:r w:rsidRPr="0069430E">
              <w:rPr>
                <w:rFonts w:ascii="Arial" w:hAnsi="Arial" w:cs="Arial"/>
                <w:b/>
                <w:sz w:val="17"/>
                <w:szCs w:val="17"/>
              </w:rPr>
              <w:t>Otros Gastos y Pérdidas Extraordinarias</w:t>
            </w:r>
          </w:p>
        </w:tc>
        <w:tc>
          <w:tcPr>
            <w:tcW w:w="2180" w:type="dxa"/>
            <w:tcBorders>
              <w:top w:val="nil"/>
              <w:left w:val="nil"/>
              <w:bottom w:val="single" w:sz="4" w:space="0" w:color="auto"/>
              <w:right w:val="single" w:sz="4" w:space="0" w:color="auto"/>
            </w:tcBorders>
            <w:shd w:val="clear" w:color="auto" w:fill="FFFFFF" w:themeFill="background1"/>
          </w:tcPr>
          <w:p w:rsidR="00AE63AF" w:rsidRPr="00AE63AF" w:rsidRDefault="00AE63AF" w:rsidP="00AE63AF">
            <w:pPr>
              <w:jc w:val="right"/>
              <w:rPr>
                <w:rFonts w:ascii="Arial" w:hAnsi="Arial" w:cs="Arial"/>
                <w:sz w:val="17"/>
                <w:szCs w:val="17"/>
              </w:rPr>
            </w:pPr>
            <w:r w:rsidRPr="00AE63AF">
              <w:rPr>
                <w:rFonts w:ascii="Arial" w:hAnsi="Arial" w:cs="Arial"/>
                <w:sz w:val="17"/>
                <w:szCs w:val="17"/>
              </w:rPr>
              <w:t xml:space="preserve"> 1,754,328,693 </w:t>
            </w:r>
          </w:p>
        </w:tc>
        <w:tc>
          <w:tcPr>
            <w:tcW w:w="2180" w:type="dxa"/>
            <w:tcBorders>
              <w:top w:val="nil"/>
              <w:left w:val="nil"/>
              <w:bottom w:val="single" w:sz="4" w:space="0" w:color="auto"/>
              <w:right w:val="single" w:sz="4" w:space="0" w:color="auto"/>
            </w:tcBorders>
            <w:shd w:val="clear" w:color="auto" w:fill="auto"/>
          </w:tcPr>
          <w:p w:rsidR="00AE63AF" w:rsidRPr="005178E9" w:rsidRDefault="00AE63AF" w:rsidP="00AE63AF">
            <w:pPr>
              <w:jc w:val="right"/>
              <w:rPr>
                <w:rFonts w:ascii="Arial" w:hAnsi="Arial" w:cs="Arial"/>
                <w:sz w:val="17"/>
                <w:szCs w:val="17"/>
              </w:rPr>
            </w:pPr>
            <w:r w:rsidRPr="00941BEA">
              <w:rPr>
                <w:rFonts w:ascii="Arial" w:hAnsi="Arial" w:cs="Arial"/>
                <w:sz w:val="17"/>
                <w:szCs w:val="17"/>
              </w:rPr>
              <w:t xml:space="preserve"> 1,013,924,174 </w:t>
            </w:r>
          </w:p>
        </w:tc>
      </w:tr>
      <w:tr w:rsidR="00AE63AF" w:rsidTr="00AE63AF">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AE63AF" w:rsidRPr="0069430E" w:rsidRDefault="00AE63AF" w:rsidP="00AE63AF">
            <w:pPr>
              <w:rPr>
                <w:rFonts w:ascii="Arial" w:hAnsi="Arial" w:cs="Arial"/>
                <w:b/>
                <w:sz w:val="17"/>
                <w:szCs w:val="17"/>
              </w:rPr>
            </w:pPr>
            <w:r w:rsidRPr="0090025D">
              <w:rPr>
                <w:rFonts w:ascii="Arial" w:hAnsi="Arial" w:cs="Arial"/>
                <w:b/>
                <w:sz w:val="17"/>
                <w:szCs w:val="17"/>
              </w:rPr>
              <w:t>Inversión Pública</w:t>
            </w:r>
          </w:p>
        </w:tc>
        <w:tc>
          <w:tcPr>
            <w:tcW w:w="2180" w:type="dxa"/>
            <w:tcBorders>
              <w:top w:val="nil"/>
              <w:left w:val="nil"/>
              <w:bottom w:val="single" w:sz="4" w:space="0" w:color="auto"/>
              <w:right w:val="single" w:sz="4" w:space="0" w:color="auto"/>
            </w:tcBorders>
            <w:shd w:val="clear" w:color="auto" w:fill="auto"/>
          </w:tcPr>
          <w:p w:rsidR="00AE63AF" w:rsidRPr="00AE63AF" w:rsidRDefault="00AE63AF" w:rsidP="00AE63AF">
            <w:pPr>
              <w:jc w:val="right"/>
              <w:rPr>
                <w:rFonts w:ascii="Arial" w:hAnsi="Arial" w:cs="Arial"/>
                <w:sz w:val="17"/>
                <w:szCs w:val="17"/>
              </w:rPr>
            </w:pPr>
            <w:r w:rsidRPr="00AE63AF">
              <w:rPr>
                <w:rFonts w:ascii="Arial" w:hAnsi="Arial" w:cs="Arial"/>
                <w:sz w:val="17"/>
                <w:szCs w:val="17"/>
              </w:rPr>
              <w:t xml:space="preserve"> 963,028,796 </w:t>
            </w:r>
          </w:p>
        </w:tc>
        <w:tc>
          <w:tcPr>
            <w:tcW w:w="2180" w:type="dxa"/>
            <w:tcBorders>
              <w:top w:val="nil"/>
              <w:left w:val="nil"/>
              <w:bottom w:val="single" w:sz="4" w:space="0" w:color="auto"/>
              <w:right w:val="single" w:sz="4" w:space="0" w:color="auto"/>
            </w:tcBorders>
            <w:shd w:val="clear" w:color="auto" w:fill="auto"/>
          </w:tcPr>
          <w:p w:rsidR="00AE63AF" w:rsidRPr="005178E9" w:rsidRDefault="00AE63AF" w:rsidP="00AE63AF">
            <w:pPr>
              <w:jc w:val="right"/>
              <w:rPr>
                <w:rFonts w:ascii="Arial" w:hAnsi="Arial" w:cs="Arial"/>
                <w:sz w:val="17"/>
                <w:szCs w:val="17"/>
              </w:rPr>
            </w:pPr>
            <w:r w:rsidRPr="00941BEA">
              <w:rPr>
                <w:rFonts w:ascii="Arial" w:hAnsi="Arial" w:cs="Arial"/>
                <w:sz w:val="17"/>
                <w:szCs w:val="17"/>
              </w:rPr>
              <w:t xml:space="preserve"> 717,502,892 </w:t>
            </w:r>
          </w:p>
        </w:tc>
      </w:tr>
      <w:tr w:rsidR="00AE63AF" w:rsidRPr="002D70DA" w:rsidTr="00AE63AF">
        <w:trPr>
          <w:trHeight w:val="240"/>
          <w:jc w:val="center"/>
        </w:trPr>
        <w:tc>
          <w:tcPr>
            <w:tcW w:w="4900" w:type="dxa"/>
            <w:tcBorders>
              <w:top w:val="nil"/>
              <w:left w:val="nil"/>
              <w:bottom w:val="nil"/>
              <w:right w:val="nil"/>
            </w:tcBorders>
            <w:shd w:val="clear" w:color="000000" w:fill="FFFFFF"/>
            <w:vAlign w:val="center"/>
            <w:hideMark/>
          </w:tcPr>
          <w:p w:rsidR="00AE63AF" w:rsidRPr="002D70DA" w:rsidRDefault="00AE63AF" w:rsidP="00AE63AF">
            <w:pPr>
              <w:jc w:val="center"/>
              <w:rPr>
                <w:rFonts w:ascii="Arial" w:hAnsi="Arial" w:cs="Arial"/>
                <w:b/>
                <w:bCs/>
                <w:color w:val="000000"/>
                <w:sz w:val="17"/>
                <w:szCs w:val="17"/>
              </w:rPr>
            </w:pPr>
            <w:r>
              <w:rPr>
                <w:rFonts w:ascii="Arial" w:hAnsi="Arial" w:cs="Arial"/>
                <w:b/>
                <w:bCs/>
                <w:color w:val="000000"/>
                <w:sz w:val="17"/>
                <w:szCs w:val="17"/>
              </w:rPr>
              <w:t>Gastos y Otras Pérdidas</w:t>
            </w:r>
          </w:p>
        </w:tc>
        <w:tc>
          <w:tcPr>
            <w:tcW w:w="2180" w:type="dxa"/>
            <w:tcBorders>
              <w:top w:val="nil"/>
              <w:left w:val="single" w:sz="4" w:space="0" w:color="auto"/>
              <w:bottom w:val="single" w:sz="4" w:space="0" w:color="auto"/>
              <w:right w:val="single" w:sz="4" w:space="0" w:color="auto"/>
            </w:tcBorders>
            <w:shd w:val="clear" w:color="000000" w:fill="FFFFFF"/>
            <w:hideMark/>
          </w:tcPr>
          <w:p w:rsidR="00AE63AF" w:rsidRPr="00AE63AF" w:rsidRDefault="00AE63AF" w:rsidP="00AE63AF">
            <w:pPr>
              <w:jc w:val="right"/>
              <w:rPr>
                <w:rFonts w:ascii="Arial" w:hAnsi="Arial" w:cs="Arial"/>
                <w:sz w:val="17"/>
                <w:szCs w:val="17"/>
              </w:rPr>
            </w:pPr>
            <w:r w:rsidRPr="00AE63AF">
              <w:rPr>
                <w:rFonts w:ascii="Arial" w:hAnsi="Arial" w:cs="Arial"/>
                <w:sz w:val="17"/>
                <w:szCs w:val="17"/>
              </w:rPr>
              <w:t xml:space="preserve"> 38,636,864,677 </w:t>
            </w:r>
          </w:p>
        </w:tc>
        <w:tc>
          <w:tcPr>
            <w:tcW w:w="2180" w:type="dxa"/>
            <w:tcBorders>
              <w:top w:val="single" w:sz="4" w:space="0" w:color="auto"/>
              <w:left w:val="nil"/>
              <w:bottom w:val="single" w:sz="4" w:space="0" w:color="auto"/>
              <w:right w:val="single" w:sz="4" w:space="0" w:color="auto"/>
            </w:tcBorders>
            <w:shd w:val="clear" w:color="000000" w:fill="FFFFFF"/>
            <w:noWrap/>
            <w:hideMark/>
          </w:tcPr>
          <w:p w:rsidR="00AE63AF" w:rsidRPr="005178E9" w:rsidRDefault="00AE63AF" w:rsidP="00AE63AF">
            <w:pPr>
              <w:jc w:val="right"/>
              <w:rPr>
                <w:rFonts w:ascii="Arial" w:hAnsi="Arial" w:cs="Arial"/>
                <w:sz w:val="17"/>
                <w:szCs w:val="17"/>
              </w:rPr>
            </w:pPr>
            <w:r w:rsidRPr="00941BEA">
              <w:rPr>
                <w:rFonts w:ascii="Arial" w:hAnsi="Arial" w:cs="Arial"/>
                <w:sz w:val="17"/>
                <w:szCs w:val="17"/>
              </w:rPr>
              <w:t xml:space="preserve"> 36,860,993,948 </w:t>
            </w:r>
          </w:p>
        </w:tc>
      </w:tr>
    </w:tbl>
    <w:p w:rsidR="006520E3" w:rsidRDefault="006520E3" w:rsidP="006520E3">
      <w:pPr>
        <w:spacing w:before="80" w:line="250" w:lineRule="exact"/>
        <w:ind w:left="709"/>
        <w:jc w:val="both"/>
        <w:rPr>
          <w:rFonts w:ascii="Arial" w:eastAsia="Calibri" w:hAnsi="Arial" w:cs="Arial"/>
          <w:spacing w:val="-1"/>
          <w:sz w:val="17"/>
          <w:szCs w:val="17"/>
        </w:rPr>
      </w:pPr>
    </w:p>
    <w:p w:rsidR="006520E3" w:rsidRPr="00C65AA8" w:rsidRDefault="00AE63AF" w:rsidP="006520E3">
      <w:pPr>
        <w:spacing w:before="80" w:line="250" w:lineRule="exact"/>
        <w:ind w:left="709"/>
        <w:jc w:val="both"/>
        <w:rPr>
          <w:rFonts w:ascii="Arial" w:eastAsia="Calibri" w:hAnsi="Arial" w:cs="Arial"/>
          <w:spacing w:val="-1"/>
          <w:sz w:val="17"/>
          <w:szCs w:val="17"/>
          <w:highlight w:val="yellow"/>
        </w:rPr>
      </w:pPr>
      <w:r>
        <w:rPr>
          <w:rFonts w:ascii="Arial" w:eastAsia="Calibri" w:hAnsi="Arial" w:cs="Arial"/>
          <w:spacing w:val="-1"/>
          <w:sz w:val="17"/>
          <w:szCs w:val="17"/>
        </w:rPr>
        <w:t>El incremento del 5</w:t>
      </w:r>
      <w:r w:rsidR="006520E3" w:rsidRPr="004826A3">
        <w:rPr>
          <w:rFonts w:ascii="Arial" w:eastAsia="Calibri" w:hAnsi="Arial" w:cs="Arial"/>
          <w:spacing w:val="-1"/>
          <w:sz w:val="17"/>
          <w:szCs w:val="17"/>
        </w:rPr>
        <w:t>% que se refleja en el total del gasto, obedece princip</w:t>
      </w:r>
      <w:r w:rsidR="006520E3" w:rsidRPr="000F46A3">
        <w:rPr>
          <w:rFonts w:ascii="Arial" w:eastAsia="Calibri" w:hAnsi="Arial" w:cs="Arial"/>
          <w:spacing w:val="-1"/>
          <w:sz w:val="17"/>
          <w:szCs w:val="17"/>
        </w:rPr>
        <w:t>almente al incremento en el grupo de</w:t>
      </w:r>
      <w:r w:rsidR="006520E3" w:rsidRPr="000F46A3">
        <w:t xml:space="preserve"> </w:t>
      </w:r>
      <w:r w:rsidR="006520E3" w:rsidRPr="000F46A3">
        <w:rPr>
          <w:rFonts w:ascii="Arial" w:eastAsia="Calibri" w:hAnsi="Arial" w:cs="Arial"/>
          <w:spacing w:val="-1"/>
          <w:sz w:val="17"/>
          <w:szCs w:val="17"/>
        </w:rPr>
        <w:t xml:space="preserve">Participaciones y Aportaciones el cual </w:t>
      </w:r>
      <w:r w:rsidR="004826A3" w:rsidRPr="000F46A3">
        <w:rPr>
          <w:rFonts w:ascii="Arial" w:eastAsia="Calibri" w:hAnsi="Arial" w:cs="Arial"/>
          <w:spacing w:val="-1"/>
          <w:sz w:val="17"/>
          <w:szCs w:val="17"/>
        </w:rPr>
        <w:t>increment</w:t>
      </w:r>
      <w:r w:rsidR="006520E3" w:rsidRPr="000F46A3">
        <w:rPr>
          <w:rFonts w:ascii="Arial" w:eastAsia="Calibri" w:hAnsi="Arial" w:cs="Arial"/>
          <w:spacing w:val="-1"/>
          <w:sz w:val="17"/>
          <w:szCs w:val="17"/>
        </w:rPr>
        <w:t xml:space="preserve">ó </w:t>
      </w:r>
      <w:r w:rsidR="004826A3" w:rsidRPr="000F46A3">
        <w:rPr>
          <w:rFonts w:ascii="Arial" w:eastAsia="Calibri" w:hAnsi="Arial" w:cs="Arial"/>
          <w:spacing w:val="-1"/>
          <w:sz w:val="17"/>
          <w:szCs w:val="17"/>
        </w:rPr>
        <w:t>295,207,425,</w:t>
      </w:r>
      <w:r w:rsidR="006520E3" w:rsidRPr="000F46A3">
        <w:rPr>
          <w:rFonts w:ascii="Arial" w:eastAsia="Calibri" w:hAnsi="Arial" w:cs="Arial"/>
          <w:spacing w:val="-1"/>
          <w:sz w:val="17"/>
          <w:szCs w:val="17"/>
        </w:rPr>
        <w:t xml:space="preserve"> en el que destaca</w:t>
      </w:r>
      <w:r w:rsidR="000F46A3" w:rsidRPr="000F46A3">
        <w:rPr>
          <w:rFonts w:ascii="Arial" w:eastAsia="Calibri" w:hAnsi="Arial" w:cs="Arial"/>
          <w:spacing w:val="-1"/>
          <w:sz w:val="17"/>
          <w:szCs w:val="17"/>
        </w:rPr>
        <w:t>n las Participaciones entregadas a m</w:t>
      </w:r>
      <w:r w:rsidR="000F46A3">
        <w:rPr>
          <w:rFonts w:ascii="Arial" w:eastAsia="Calibri" w:hAnsi="Arial" w:cs="Arial"/>
          <w:spacing w:val="-1"/>
          <w:sz w:val="17"/>
          <w:szCs w:val="17"/>
        </w:rPr>
        <w:t>unicipios.</w:t>
      </w:r>
    </w:p>
    <w:p w:rsidR="006520E3" w:rsidRPr="00C65AA8" w:rsidRDefault="006520E3" w:rsidP="006520E3">
      <w:pPr>
        <w:spacing w:before="80" w:line="250" w:lineRule="exact"/>
        <w:ind w:left="709"/>
        <w:jc w:val="both"/>
        <w:rPr>
          <w:rFonts w:ascii="Arial" w:eastAsia="Calibri" w:hAnsi="Arial" w:cs="Arial"/>
          <w:spacing w:val="-1"/>
          <w:sz w:val="17"/>
          <w:szCs w:val="17"/>
          <w:highlight w:val="yellow"/>
        </w:rPr>
      </w:pPr>
    </w:p>
    <w:p w:rsidR="006520E3" w:rsidRPr="00542FF8" w:rsidRDefault="004826A3" w:rsidP="006520E3">
      <w:pPr>
        <w:spacing w:before="80" w:line="250" w:lineRule="exact"/>
        <w:ind w:left="709"/>
        <w:jc w:val="both"/>
        <w:rPr>
          <w:rFonts w:ascii="Arial" w:eastAsia="Calibri" w:hAnsi="Arial" w:cs="Arial"/>
          <w:spacing w:val="-1"/>
          <w:sz w:val="17"/>
          <w:szCs w:val="17"/>
        </w:rPr>
      </w:pPr>
      <w:r w:rsidRPr="004826A3">
        <w:rPr>
          <w:rFonts w:ascii="Arial" w:eastAsia="Calibri" w:hAnsi="Arial" w:cs="Arial"/>
          <w:spacing w:val="-1"/>
          <w:sz w:val="17"/>
          <w:szCs w:val="17"/>
        </w:rPr>
        <w:t>El incre</w:t>
      </w:r>
      <w:r w:rsidR="006520E3" w:rsidRPr="004826A3">
        <w:rPr>
          <w:rFonts w:ascii="Arial" w:eastAsia="Calibri" w:hAnsi="Arial" w:cs="Arial"/>
          <w:spacing w:val="-1"/>
          <w:sz w:val="17"/>
          <w:szCs w:val="17"/>
        </w:rPr>
        <w:t>mento en Transferencias, Asignaciones, Subsidios y Otras Ayudas es derivado principalmente de</w:t>
      </w:r>
      <w:r>
        <w:rPr>
          <w:rFonts w:ascii="Arial" w:eastAsia="Calibri" w:hAnsi="Arial" w:cs="Arial"/>
          <w:spacing w:val="-1"/>
          <w:sz w:val="17"/>
          <w:szCs w:val="17"/>
        </w:rPr>
        <w:t>l aumen</w:t>
      </w:r>
      <w:r w:rsidR="000F46A3">
        <w:rPr>
          <w:rFonts w:ascii="Arial" w:eastAsia="Calibri" w:hAnsi="Arial" w:cs="Arial"/>
          <w:spacing w:val="-1"/>
          <w:sz w:val="17"/>
          <w:szCs w:val="17"/>
        </w:rPr>
        <w:t xml:space="preserve">to por concepto de </w:t>
      </w:r>
      <w:r w:rsidR="000F46A3" w:rsidRPr="000F46A3">
        <w:rPr>
          <w:rFonts w:ascii="Arial" w:eastAsia="Calibri" w:hAnsi="Arial" w:cs="Arial"/>
          <w:spacing w:val="-1"/>
          <w:sz w:val="17"/>
          <w:szCs w:val="17"/>
        </w:rPr>
        <w:t>Transferencias otorgadas a entidades paraestatales no empresariales y no financieras</w:t>
      </w:r>
      <w:r w:rsidR="000F46A3">
        <w:rPr>
          <w:rFonts w:ascii="Arial" w:eastAsia="Calibri" w:hAnsi="Arial" w:cs="Arial"/>
          <w:spacing w:val="-1"/>
          <w:sz w:val="17"/>
          <w:szCs w:val="17"/>
        </w:rPr>
        <w:t xml:space="preserve"> </w:t>
      </w:r>
      <w:r w:rsidR="00593028">
        <w:rPr>
          <w:rFonts w:ascii="Arial" w:eastAsia="Calibri" w:hAnsi="Arial" w:cs="Arial"/>
          <w:spacing w:val="-1"/>
          <w:sz w:val="17"/>
          <w:szCs w:val="17"/>
        </w:rPr>
        <w:t xml:space="preserve">primordialmente </w:t>
      </w:r>
      <w:r w:rsidR="000F46A3">
        <w:rPr>
          <w:rFonts w:ascii="Arial" w:eastAsia="Calibri" w:hAnsi="Arial" w:cs="Arial"/>
          <w:spacing w:val="-1"/>
          <w:sz w:val="17"/>
          <w:szCs w:val="17"/>
        </w:rPr>
        <w:t xml:space="preserve">a la USEBEQ por </w:t>
      </w:r>
      <w:r w:rsidR="000B7DD7">
        <w:rPr>
          <w:rFonts w:ascii="Arial" w:eastAsia="Calibri" w:hAnsi="Arial" w:cs="Arial"/>
          <w:spacing w:val="-1"/>
          <w:sz w:val="17"/>
          <w:szCs w:val="17"/>
        </w:rPr>
        <w:t>550</w:t>
      </w:r>
      <w:proofErr w:type="gramStart"/>
      <w:r w:rsidR="000B7DD7">
        <w:rPr>
          <w:rFonts w:ascii="Arial" w:eastAsia="Calibri" w:hAnsi="Arial" w:cs="Arial"/>
          <w:spacing w:val="-1"/>
          <w:sz w:val="17"/>
          <w:szCs w:val="17"/>
        </w:rPr>
        <w:t>,365,297</w:t>
      </w:r>
      <w:proofErr w:type="gramEnd"/>
      <w:r w:rsidR="000B7DD7">
        <w:rPr>
          <w:rFonts w:ascii="Arial" w:eastAsia="Calibri" w:hAnsi="Arial" w:cs="Arial"/>
          <w:spacing w:val="-1"/>
          <w:sz w:val="17"/>
          <w:szCs w:val="17"/>
        </w:rPr>
        <w:t>.</w:t>
      </w:r>
    </w:p>
    <w:p w:rsidR="006520E3" w:rsidRPr="00075D3C"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4826A3" w:rsidRDefault="004826A3" w:rsidP="006520E3">
      <w:pPr>
        <w:rPr>
          <w:rFonts w:ascii="Arial" w:eastAsia="Calibri" w:hAnsi="Arial" w:cs="Arial"/>
          <w:spacing w:val="-1"/>
          <w:sz w:val="17"/>
          <w:szCs w:val="17"/>
        </w:rPr>
      </w:pPr>
    </w:p>
    <w:p w:rsidR="00941B09" w:rsidRDefault="00941B09" w:rsidP="006520E3">
      <w:pPr>
        <w:rPr>
          <w:rFonts w:ascii="Arial" w:eastAsia="Calibri" w:hAnsi="Arial" w:cs="Arial"/>
          <w:spacing w:val="-1"/>
          <w:sz w:val="17"/>
          <w:szCs w:val="17"/>
        </w:rPr>
      </w:pPr>
    </w:p>
    <w:p w:rsidR="00515775" w:rsidRDefault="00515775"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Pr="00C55B3E" w:rsidRDefault="006520E3" w:rsidP="006520E3">
      <w:pPr>
        <w:spacing w:before="80" w:line="250" w:lineRule="exact"/>
        <w:ind w:left="709"/>
        <w:jc w:val="both"/>
        <w:rPr>
          <w:rFonts w:ascii="Arial" w:eastAsia="Calibri" w:hAnsi="Arial" w:cs="Arial"/>
          <w:spacing w:val="-1"/>
          <w:sz w:val="17"/>
          <w:szCs w:val="17"/>
        </w:rPr>
      </w:pPr>
      <w:r w:rsidRPr="001A38B4">
        <w:rPr>
          <w:rFonts w:ascii="Arial" w:eastAsia="Calibri" w:hAnsi="Arial" w:cs="Arial"/>
          <w:spacing w:val="-1"/>
          <w:sz w:val="17"/>
          <w:szCs w:val="17"/>
        </w:rPr>
        <w:lastRenderedPageBreak/>
        <w:t xml:space="preserve">Se explican aquellas cuentas de gastos de funcionamiento, transferencias, subsidios y otras ayudas, participaciones y aportaciones, otros gastos y pérdidas extraordinarias, que en lo individual </w:t>
      </w:r>
      <w:r w:rsidRPr="00C55B3E">
        <w:rPr>
          <w:rFonts w:ascii="Arial" w:eastAsia="Calibri" w:hAnsi="Arial" w:cs="Arial"/>
          <w:spacing w:val="-1"/>
          <w:sz w:val="17"/>
          <w:szCs w:val="17"/>
        </w:rPr>
        <w:t xml:space="preserve">representen el 10% o más del total de los gastos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C55B3E">
        <w:rPr>
          <w:rFonts w:ascii="Arial" w:eastAsia="Calibri" w:hAnsi="Arial" w:cs="Arial"/>
          <w:spacing w:val="-1"/>
          <w:sz w:val="17"/>
          <w:szCs w:val="17"/>
        </w:rPr>
        <w:t>:</w:t>
      </w:r>
    </w:p>
    <w:p w:rsidR="006520E3" w:rsidRPr="003214D0" w:rsidRDefault="006520E3" w:rsidP="006520E3">
      <w:pPr>
        <w:autoSpaceDE w:val="0"/>
        <w:autoSpaceDN w:val="0"/>
        <w:adjustRightInd w:val="0"/>
        <w:spacing w:before="240" w:after="120"/>
        <w:jc w:val="center"/>
        <w:rPr>
          <w:rFonts w:ascii="Arial" w:eastAsia="Calibri" w:hAnsi="Arial" w:cs="Arial"/>
          <w:b/>
          <w:spacing w:val="-1"/>
          <w:sz w:val="17"/>
          <w:szCs w:val="17"/>
        </w:rPr>
      </w:pPr>
      <w:r w:rsidRPr="003214D0">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F90C87"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3214D0" w:rsidRDefault="006520E3" w:rsidP="00137283">
            <w:pPr>
              <w:rPr>
                <w:rFonts w:ascii="Arial" w:hAnsi="Arial" w:cs="Arial"/>
                <w:b/>
                <w:bCs/>
                <w:color w:val="000000"/>
                <w:sz w:val="17"/>
                <w:szCs w:val="17"/>
              </w:rPr>
            </w:pPr>
            <w:r w:rsidRPr="003214D0">
              <w:rPr>
                <w:rFonts w:ascii="Arial" w:hAnsi="Arial" w:cs="Arial"/>
                <w:b/>
                <w:bCs/>
                <w:color w:val="000000"/>
                <w:sz w:val="17"/>
                <w:szCs w:val="17"/>
              </w:rPr>
              <w:t>Monto total de gastos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6520E3" w:rsidRPr="00F90C87" w:rsidRDefault="006520E3" w:rsidP="00137283">
            <w:pPr>
              <w:jc w:val="right"/>
              <w:rPr>
                <w:rFonts w:ascii="Arial" w:hAnsi="Arial" w:cs="Arial"/>
                <w:b/>
                <w:bCs/>
                <w:color w:val="000000"/>
                <w:sz w:val="16"/>
                <w:szCs w:val="16"/>
              </w:rPr>
            </w:pPr>
            <w:r>
              <w:rPr>
                <w:rFonts w:ascii="Arial" w:hAnsi="Arial" w:cs="Arial"/>
                <w:b/>
                <w:bCs/>
                <w:color w:val="000000"/>
                <w:sz w:val="16"/>
                <w:szCs w:val="16"/>
              </w:rPr>
              <w:t>37,373,206,967</w:t>
            </w:r>
          </w:p>
        </w:tc>
        <w:tc>
          <w:tcPr>
            <w:tcW w:w="2180" w:type="dxa"/>
            <w:tcBorders>
              <w:top w:val="nil"/>
              <w:left w:val="nil"/>
              <w:bottom w:val="nil"/>
              <w:right w:val="nil"/>
            </w:tcBorders>
            <w:shd w:val="clear" w:color="000000" w:fill="FFFFFF"/>
            <w:vAlign w:val="center"/>
            <w:hideMark/>
          </w:tcPr>
          <w:p w:rsidR="006520E3" w:rsidRPr="00F90C87" w:rsidRDefault="006520E3" w:rsidP="00137283">
            <w:pPr>
              <w:rPr>
                <w:rFonts w:ascii="Arial" w:hAnsi="Arial" w:cs="Arial"/>
                <w:b/>
                <w:bCs/>
                <w:color w:val="000000"/>
                <w:sz w:val="17"/>
                <w:szCs w:val="17"/>
              </w:rPr>
            </w:pPr>
            <w:r w:rsidRPr="00F90C87">
              <w:rPr>
                <w:rFonts w:ascii="Arial" w:hAnsi="Arial" w:cs="Arial"/>
                <w:b/>
                <w:bCs/>
                <w:color w:val="000000"/>
                <w:sz w:val="17"/>
                <w:szCs w:val="17"/>
              </w:rPr>
              <w:t> </w:t>
            </w:r>
          </w:p>
        </w:tc>
      </w:tr>
      <w:tr w:rsidR="006520E3" w:rsidRPr="00F90C87" w:rsidTr="00137283">
        <w:trPr>
          <w:trHeight w:val="240"/>
          <w:jc w:val="center"/>
        </w:trPr>
        <w:tc>
          <w:tcPr>
            <w:tcW w:w="4900" w:type="dxa"/>
            <w:tcBorders>
              <w:top w:val="nil"/>
              <w:left w:val="nil"/>
              <w:bottom w:val="nil"/>
              <w:right w:val="nil"/>
            </w:tcBorders>
            <w:shd w:val="clear" w:color="000000" w:fill="FFFFFF"/>
            <w:vAlign w:val="center"/>
            <w:hideMark/>
          </w:tcPr>
          <w:p w:rsidR="006520E3" w:rsidRPr="003214D0" w:rsidRDefault="006520E3" w:rsidP="00137283">
            <w:pPr>
              <w:rPr>
                <w:rFonts w:ascii="Arial" w:hAnsi="Arial" w:cs="Arial"/>
                <w:b/>
                <w:bCs/>
                <w:color w:val="000000"/>
                <w:sz w:val="17"/>
                <w:szCs w:val="17"/>
              </w:rPr>
            </w:pPr>
            <w:r w:rsidRPr="003214D0">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6520E3" w:rsidRPr="00F90C87" w:rsidRDefault="006520E3" w:rsidP="00137283">
            <w:pPr>
              <w:rPr>
                <w:rFonts w:ascii="Arial" w:hAnsi="Arial" w:cs="Arial"/>
                <w:b/>
                <w:bCs/>
                <w:color w:val="000000"/>
                <w:sz w:val="17"/>
                <w:szCs w:val="17"/>
              </w:rPr>
            </w:pPr>
            <w:r w:rsidRPr="00F90C87">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6520E3" w:rsidRPr="00F90C87" w:rsidRDefault="006520E3" w:rsidP="00137283">
            <w:pPr>
              <w:rPr>
                <w:rFonts w:ascii="Arial" w:hAnsi="Arial" w:cs="Arial"/>
                <w:b/>
                <w:bCs/>
                <w:color w:val="000000"/>
                <w:sz w:val="17"/>
                <w:szCs w:val="17"/>
              </w:rPr>
            </w:pPr>
            <w:r w:rsidRPr="00F90C87">
              <w:rPr>
                <w:rFonts w:ascii="Arial" w:hAnsi="Arial" w:cs="Arial"/>
                <w:b/>
                <w:bCs/>
                <w:color w:val="000000"/>
                <w:sz w:val="17"/>
                <w:szCs w:val="17"/>
              </w:rPr>
              <w:t> </w:t>
            </w:r>
          </w:p>
        </w:tc>
      </w:tr>
      <w:tr w:rsidR="006520E3" w:rsidRPr="00F90C87" w:rsidTr="00137283">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3214D0" w:rsidRDefault="006520E3" w:rsidP="00137283">
            <w:pPr>
              <w:jc w:val="center"/>
              <w:rPr>
                <w:rFonts w:ascii="Arial" w:hAnsi="Arial" w:cs="Arial"/>
                <w:b/>
                <w:bCs/>
                <w:color w:val="000000"/>
                <w:sz w:val="17"/>
                <w:szCs w:val="17"/>
              </w:rPr>
            </w:pPr>
            <w:r w:rsidRPr="003214D0">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F90C87" w:rsidRDefault="006520E3" w:rsidP="00137283">
            <w:pPr>
              <w:jc w:val="center"/>
              <w:rPr>
                <w:rFonts w:ascii="Arial" w:hAnsi="Arial" w:cs="Arial"/>
                <w:b/>
                <w:bCs/>
                <w:color w:val="000000"/>
                <w:sz w:val="17"/>
                <w:szCs w:val="17"/>
              </w:rPr>
            </w:pPr>
            <w:r w:rsidRPr="00F90C87">
              <w:rPr>
                <w:rFonts w:ascii="Arial" w:hAnsi="Arial" w:cs="Arial"/>
                <w:b/>
                <w:bCs/>
                <w:color w:val="000000"/>
                <w:sz w:val="17"/>
                <w:szCs w:val="17"/>
              </w:rPr>
              <w:t>Monto individual</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F90C87" w:rsidRDefault="006520E3" w:rsidP="00137283">
            <w:pPr>
              <w:jc w:val="center"/>
              <w:rPr>
                <w:rFonts w:ascii="Arial" w:hAnsi="Arial" w:cs="Arial"/>
                <w:b/>
                <w:bCs/>
                <w:color w:val="000000"/>
                <w:sz w:val="17"/>
                <w:szCs w:val="17"/>
              </w:rPr>
            </w:pPr>
            <w:r w:rsidRPr="00F90C87">
              <w:rPr>
                <w:rFonts w:ascii="Arial" w:hAnsi="Arial" w:cs="Arial"/>
                <w:b/>
                <w:bCs/>
                <w:color w:val="000000"/>
                <w:sz w:val="17"/>
                <w:szCs w:val="17"/>
              </w:rPr>
              <w:t>Porcentaje del total del gasto</w:t>
            </w:r>
          </w:p>
        </w:tc>
      </w:tr>
      <w:tr w:rsidR="006520E3" w:rsidRPr="00B17AAA" w:rsidTr="00137283">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tcPr>
          <w:p w:rsidR="006520E3" w:rsidRPr="0031041D" w:rsidRDefault="006520E3" w:rsidP="00137283">
            <w:pPr>
              <w:rPr>
                <w:rFonts w:ascii="Arial" w:hAnsi="Arial" w:cs="Arial"/>
                <w:color w:val="000000"/>
                <w:sz w:val="17"/>
                <w:szCs w:val="17"/>
              </w:rPr>
            </w:pPr>
            <w:r w:rsidRPr="0031041D">
              <w:rPr>
                <w:rFonts w:ascii="Arial" w:hAnsi="Arial" w:cs="Arial"/>
                <w:color w:val="000000"/>
                <w:sz w:val="17"/>
                <w:szCs w:val="17"/>
              </w:rPr>
              <w:t>Transferencias otorgadas a entidades paraestatales no empresariales y no financieras</w:t>
            </w:r>
          </w:p>
        </w:tc>
        <w:tc>
          <w:tcPr>
            <w:tcW w:w="2180" w:type="dxa"/>
            <w:tcBorders>
              <w:top w:val="nil"/>
              <w:left w:val="nil"/>
              <w:bottom w:val="single" w:sz="4" w:space="0" w:color="auto"/>
              <w:right w:val="single" w:sz="4" w:space="0" w:color="auto"/>
            </w:tcBorders>
            <w:shd w:val="clear" w:color="auto" w:fill="auto"/>
            <w:vAlign w:val="center"/>
          </w:tcPr>
          <w:p w:rsidR="006520E3" w:rsidRPr="00941BEA" w:rsidRDefault="00B17AAA" w:rsidP="00137283">
            <w:pPr>
              <w:jc w:val="right"/>
              <w:rPr>
                <w:rFonts w:ascii="Arial" w:hAnsi="Arial" w:cs="Arial"/>
                <w:bCs/>
                <w:color w:val="000000"/>
                <w:sz w:val="17"/>
                <w:szCs w:val="17"/>
                <w:highlight w:val="yellow"/>
              </w:rPr>
            </w:pPr>
            <w:r w:rsidRPr="00B17AAA">
              <w:rPr>
                <w:rFonts w:ascii="Arial" w:hAnsi="Arial" w:cs="Arial"/>
                <w:bCs/>
                <w:color w:val="000000"/>
                <w:sz w:val="17"/>
                <w:szCs w:val="17"/>
              </w:rPr>
              <w:t>17,195,362,048</w:t>
            </w:r>
          </w:p>
        </w:tc>
        <w:tc>
          <w:tcPr>
            <w:tcW w:w="2180" w:type="dxa"/>
            <w:tcBorders>
              <w:top w:val="nil"/>
              <w:left w:val="nil"/>
              <w:bottom w:val="single" w:sz="4" w:space="0" w:color="auto"/>
              <w:right w:val="single" w:sz="4" w:space="0" w:color="auto"/>
            </w:tcBorders>
            <w:shd w:val="clear" w:color="auto" w:fill="auto"/>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46%</w:t>
            </w:r>
          </w:p>
        </w:tc>
      </w:tr>
    </w:tbl>
    <w:p w:rsidR="006520E3" w:rsidRPr="008920B0" w:rsidRDefault="006520E3" w:rsidP="006520E3">
      <w:pPr>
        <w:spacing w:before="80" w:line="250" w:lineRule="exact"/>
        <w:ind w:left="360"/>
        <w:jc w:val="both"/>
        <w:rPr>
          <w:rFonts w:ascii="Arial" w:eastAsia="Calibri" w:hAnsi="Arial" w:cs="Arial"/>
          <w:b/>
          <w:spacing w:val="-1"/>
          <w:sz w:val="17"/>
          <w:szCs w:val="17"/>
        </w:rPr>
      </w:pPr>
    </w:p>
    <w:p w:rsidR="006520E3" w:rsidRPr="00E76A87" w:rsidRDefault="006520E3" w:rsidP="006520E3">
      <w:pPr>
        <w:pStyle w:val="Prrafodelista"/>
        <w:numPr>
          <w:ilvl w:val="0"/>
          <w:numId w:val="14"/>
        </w:numPr>
        <w:spacing w:before="80" w:line="250" w:lineRule="exact"/>
        <w:jc w:val="both"/>
        <w:rPr>
          <w:rFonts w:ascii="Arial" w:eastAsia="Calibri" w:hAnsi="Arial" w:cs="Arial"/>
          <w:b/>
          <w:spacing w:val="-1"/>
          <w:sz w:val="17"/>
          <w:szCs w:val="17"/>
        </w:rPr>
      </w:pPr>
      <w:r w:rsidRPr="00E76A87">
        <w:rPr>
          <w:rFonts w:ascii="Arial" w:eastAsia="Calibri" w:hAnsi="Arial" w:cs="Arial"/>
          <w:b/>
          <w:spacing w:val="-1"/>
          <w:sz w:val="17"/>
          <w:szCs w:val="17"/>
        </w:rPr>
        <w:t>Otros Gastos y Pérdidas Extraordinarias</w:t>
      </w:r>
    </w:p>
    <w:p w:rsidR="006520E3" w:rsidRDefault="006520E3" w:rsidP="006520E3">
      <w:pPr>
        <w:spacing w:before="80" w:line="250" w:lineRule="exact"/>
        <w:ind w:left="709"/>
        <w:jc w:val="both"/>
        <w:rPr>
          <w:rFonts w:ascii="Arial" w:eastAsia="Calibri" w:hAnsi="Arial" w:cs="Arial"/>
          <w:spacing w:val="-1"/>
          <w:sz w:val="17"/>
          <w:szCs w:val="17"/>
        </w:rPr>
      </w:pPr>
    </w:p>
    <w:p w:rsidR="006520E3" w:rsidRPr="0079369C" w:rsidRDefault="006520E3" w:rsidP="006520E3">
      <w:pPr>
        <w:spacing w:before="80" w:line="250" w:lineRule="exact"/>
        <w:ind w:left="709"/>
        <w:jc w:val="both"/>
        <w:rPr>
          <w:rFonts w:ascii="Arial" w:eastAsia="Calibri" w:hAnsi="Arial" w:cs="Arial"/>
          <w:spacing w:val="-1"/>
          <w:sz w:val="17"/>
          <w:szCs w:val="17"/>
        </w:rPr>
      </w:pPr>
      <w:r w:rsidRPr="00F23571">
        <w:rPr>
          <w:rFonts w:ascii="Arial" w:eastAsia="Calibri" w:hAnsi="Arial" w:cs="Arial"/>
          <w:spacing w:val="-1"/>
          <w:sz w:val="17"/>
          <w:szCs w:val="17"/>
        </w:rPr>
        <w:t xml:space="preserve">Se informa el monto de la cuenta Otros Gastos y Pérdidas Extraordinarias por </w:t>
      </w:r>
      <w:r w:rsidR="00AE63AF">
        <w:rPr>
          <w:rFonts w:ascii="Arial" w:hAnsi="Arial" w:cs="Arial"/>
          <w:sz w:val="17"/>
          <w:szCs w:val="17"/>
        </w:rPr>
        <w:t>1</w:t>
      </w:r>
      <w:proofErr w:type="gramStart"/>
      <w:r w:rsidR="00AE63AF">
        <w:rPr>
          <w:rFonts w:ascii="Arial" w:hAnsi="Arial" w:cs="Arial"/>
          <w:sz w:val="17"/>
          <w:szCs w:val="17"/>
        </w:rPr>
        <w:t>,754,328,693</w:t>
      </w:r>
      <w:proofErr w:type="gramEnd"/>
      <w:r w:rsidR="00AE63AF">
        <w:rPr>
          <w:rFonts w:ascii="Arial" w:hAnsi="Arial" w:cs="Arial"/>
          <w:sz w:val="17"/>
          <w:szCs w:val="17"/>
        </w:rPr>
        <w:t xml:space="preserve"> </w:t>
      </w:r>
      <w:r w:rsidRPr="00F23571">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sidRPr="00F23571">
        <w:rPr>
          <w:rFonts w:ascii="Arial" w:eastAsia="Calibri" w:hAnsi="Arial" w:cs="Arial"/>
          <w:spacing w:val="-1"/>
          <w:sz w:val="17"/>
          <w:szCs w:val="17"/>
        </w:rPr>
        <w:t xml:space="preserve"> del 2019.</w:t>
      </w:r>
    </w:p>
    <w:p w:rsidR="006520E3" w:rsidRPr="0079369C" w:rsidRDefault="006520E3" w:rsidP="006520E3">
      <w:pPr>
        <w:autoSpaceDE w:val="0"/>
        <w:autoSpaceDN w:val="0"/>
        <w:adjustRightInd w:val="0"/>
        <w:spacing w:before="240" w:after="120"/>
        <w:jc w:val="center"/>
        <w:rPr>
          <w:rFonts w:ascii="Arial" w:eastAsia="Calibri" w:hAnsi="Arial" w:cs="Arial"/>
          <w:b/>
          <w:spacing w:val="-1"/>
          <w:sz w:val="17"/>
          <w:szCs w:val="17"/>
        </w:rPr>
      </w:pPr>
      <w:r w:rsidRPr="0079369C">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6520E3" w:rsidRPr="0079369C" w:rsidTr="00137283">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79369C" w:rsidRDefault="006520E3" w:rsidP="00137283">
            <w:pPr>
              <w:jc w:val="center"/>
              <w:rPr>
                <w:rFonts w:ascii="Arial" w:hAnsi="Arial" w:cs="Arial"/>
                <w:b/>
                <w:bCs/>
                <w:color w:val="000000"/>
                <w:sz w:val="17"/>
                <w:szCs w:val="17"/>
              </w:rPr>
            </w:pPr>
            <w:r w:rsidRPr="0079369C">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79369C" w:rsidRDefault="006520E3" w:rsidP="00137283">
            <w:pPr>
              <w:jc w:val="center"/>
              <w:rPr>
                <w:rFonts w:ascii="Arial" w:hAnsi="Arial" w:cs="Arial"/>
                <w:b/>
                <w:bCs/>
                <w:color w:val="000000"/>
                <w:sz w:val="17"/>
                <w:szCs w:val="17"/>
              </w:rPr>
            </w:pPr>
            <w:r w:rsidRPr="0079369C">
              <w:rPr>
                <w:rFonts w:ascii="Arial" w:hAnsi="Arial" w:cs="Arial"/>
                <w:b/>
                <w:bCs/>
                <w:color w:val="000000"/>
                <w:sz w:val="17"/>
                <w:szCs w:val="17"/>
              </w:rPr>
              <w:t>Monto</w:t>
            </w:r>
          </w:p>
        </w:tc>
      </w:tr>
      <w:tr w:rsidR="006520E3" w:rsidRPr="0079369C" w:rsidTr="00137283">
        <w:trPr>
          <w:trHeight w:val="309"/>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79369C" w:rsidRDefault="006520E3" w:rsidP="00137283">
            <w:pPr>
              <w:rPr>
                <w:rFonts w:ascii="Arial" w:hAnsi="Arial" w:cs="Arial"/>
                <w:sz w:val="17"/>
                <w:szCs w:val="17"/>
              </w:rPr>
            </w:pPr>
            <w:r w:rsidRPr="0079369C">
              <w:rPr>
                <w:rFonts w:ascii="Arial" w:hAnsi="Arial" w:cs="Arial"/>
                <w:sz w:val="17"/>
                <w:szCs w:val="17"/>
              </w:rPr>
              <w:t>Estimaciones, Depreciaciones, Deterioros, Obsolescencia y Amortizaciones</w:t>
            </w:r>
          </w:p>
        </w:tc>
        <w:tc>
          <w:tcPr>
            <w:tcW w:w="2180" w:type="dxa"/>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F23571">
              <w:rPr>
                <w:rFonts w:ascii="Arial" w:hAnsi="Arial" w:cs="Arial"/>
                <w:sz w:val="17"/>
                <w:szCs w:val="17"/>
              </w:rPr>
              <w:t>256,932,058</w:t>
            </w:r>
          </w:p>
        </w:tc>
      </w:tr>
      <w:tr w:rsidR="006520E3" w:rsidRPr="0079369C" w:rsidTr="00137283">
        <w:trPr>
          <w:trHeight w:val="309"/>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520E3" w:rsidRPr="0079369C" w:rsidRDefault="006520E3" w:rsidP="00137283">
            <w:pPr>
              <w:rPr>
                <w:rFonts w:ascii="Arial" w:hAnsi="Arial" w:cs="Arial"/>
                <w:sz w:val="17"/>
                <w:szCs w:val="17"/>
              </w:rPr>
            </w:pPr>
            <w:r w:rsidRPr="0079369C">
              <w:rPr>
                <w:rFonts w:ascii="Arial" w:hAnsi="Arial" w:cs="Arial"/>
                <w:sz w:val="17"/>
                <w:szCs w:val="17"/>
              </w:rPr>
              <w:t>Disminución de Inventarios</w:t>
            </w:r>
          </w:p>
        </w:tc>
        <w:tc>
          <w:tcPr>
            <w:tcW w:w="2180" w:type="dxa"/>
            <w:tcBorders>
              <w:top w:val="single" w:sz="4" w:space="0" w:color="auto"/>
              <w:left w:val="nil"/>
              <w:bottom w:val="single" w:sz="4" w:space="0" w:color="auto"/>
              <w:right w:val="single" w:sz="4" w:space="0" w:color="auto"/>
            </w:tcBorders>
            <w:shd w:val="clear" w:color="auto" w:fill="auto"/>
          </w:tcPr>
          <w:p w:rsidR="006520E3" w:rsidRPr="00941BEA" w:rsidRDefault="006520E3" w:rsidP="00137283">
            <w:pPr>
              <w:jc w:val="right"/>
              <w:rPr>
                <w:rFonts w:ascii="Arial" w:hAnsi="Arial" w:cs="Arial"/>
                <w:sz w:val="17"/>
                <w:szCs w:val="17"/>
              </w:rPr>
            </w:pPr>
            <w:r w:rsidRPr="00941BEA">
              <w:rPr>
                <w:rFonts w:ascii="Arial" w:hAnsi="Arial" w:cs="Arial"/>
                <w:sz w:val="17"/>
                <w:szCs w:val="17"/>
              </w:rPr>
              <w:t xml:space="preserve"> 36,704 </w:t>
            </w:r>
          </w:p>
        </w:tc>
      </w:tr>
      <w:tr w:rsidR="006520E3" w:rsidRPr="0079369C" w:rsidTr="00137283">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6520E3" w:rsidRPr="0079369C" w:rsidRDefault="006520E3" w:rsidP="00137283">
            <w:pPr>
              <w:rPr>
                <w:rFonts w:ascii="Arial" w:hAnsi="Arial" w:cs="Arial"/>
                <w:sz w:val="17"/>
                <w:szCs w:val="17"/>
              </w:rPr>
            </w:pPr>
            <w:r w:rsidRPr="0079369C">
              <w:rPr>
                <w:rFonts w:ascii="Arial" w:hAnsi="Arial" w:cs="Arial"/>
                <w:sz w:val="17"/>
                <w:szCs w:val="17"/>
              </w:rPr>
              <w:t>Otros Gastos</w:t>
            </w:r>
          </w:p>
        </w:tc>
        <w:tc>
          <w:tcPr>
            <w:tcW w:w="2180" w:type="dxa"/>
            <w:tcBorders>
              <w:top w:val="nil"/>
              <w:left w:val="nil"/>
              <w:bottom w:val="single" w:sz="4" w:space="0" w:color="auto"/>
              <w:right w:val="single" w:sz="4" w:space="0" w:color="auto"/>
            </w:tcBorders>
            <w:shd w:val="clear" w:color="auto" w:fill="auto"/>
          </w:tcPr>
          <w:p w:rsidR="006520E3" w:rsidRPr="00666FE1" w:rsidRDefault="00AE63AF" w:rsidP="00137283">
            <w:pPr>
              <w:jc w:val="right"/>
              <w:rPr>
                <w:rFonts w:ascii="Arial" w:hAnsi="Arial" w:cs="Arial"/>
                <w:sz w:val="17"/>
                <w:szCs w:val="17"/>
                <w:highlight w:val="yellow"/>
              </w:rPr>
            </w:pPr>
            <w:r>
              <w:rPr>
                <w:rFonts w:ascii="Arial" w:hAnsi="Arial" w:cs="Arial"/>
                <w:sz w:val="17"/>
                <w:szCs w:val="17"/>
              </w:rPr>
              <w:t>1,497,359,931</w:t>
            </w:r>
          </w:p>
        </w:tc>
      </w:tr>
      <w:tr w:rsidR="006520E3" w:rsidRPr="0079369C" w:rsidTr="00137283">
        <w:trPr>
          <w:trHeight w:val="240"/>
          <w:jc w:val="center"/>
        </w:trPr>
        <w:tc>
          <w:tcPr>
            <w:tcW w:w="4900" w:type="dxa"/>
            <w:tcBorders>
              <w:top w:val="nil"/>
              <w:left w:val="nil"/>
              <w:bottom w:val="nil"/>
              <w:right w:val="nil"/>
            </w:tcBorders>
            <w:shd w:val="clear" w:color="000000" w:fill="FFFFFF"/>
            <w:vAlign w:val="center"/>
            <w:hideMark/>
          </w:tcPr>
          <w:p w:rsidR="006520E3" w:rsidRPr="0079369C" w:rsidRDefault="006520E3" w:rsidP="00137283">
            <w:pPr>
              <w:jc w:val="center"/>
              <w:rPr>
                <w:rFonts w:ascii="Arial" w:hAnsi="Arial" w:cs="Arial"/>
                <w:b/>
                <w:bCs/>
                <w:color w:val="000000"/>
                <w:sz w:val="17"/>
                <w:szCs w:val="17"/>
              </w:rPr>
            </w:pPr>
            <w:r w:rsidRPr="0079369C">
              <w:rPr>
                <w:rFonts w:ascii="Arial" w:hAnsi="Arial" w:cs="Arial"/>
                <w:b/>
                <w:bCs/>
                <w:color w:val="000000"/>
                <w:sz w:val="17"/>
                <w:szCs w:val="17"/>
              </w:rPr>
              <w:t>Otros Gastos y Pérdidas Extraordinarias</w:t>
            </w:r>
          </w:p>
        </w:tc>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6520E3" w:rsidRPr="00666FE1" w:rsidRDefault="00AE63AF" w:rsidP="00137283">
            <w:pPr>
              <w:jc w:val="right"/>
              <w:rPr>
                <w:rFonts w:ascii="Arial" w:hAnsi="Arial" w:cs="Arial"/>
                <w:sz w:val="17"/>
                <w:szCs w:val="17"/>
                <w:highlight w:val="yellow"/>
              </w:rPr>
            </w:pPr>
            <w:r>
              <w:rPr>
                <w:rFonts w:ascii="Arial" w:hAnsi="Arial" w:cs="Arial"/>
                <w:sz w:val="17"/>
                <w:szCs w:val="17"/>
              </w:rPr>
              <w:t>1,754,328,693</w:t>
            </w:r>
            <w:r w:rsidR="006520E3" w:rsidRPr="00666FE1">
              <w:rPr>
                <w:rFonts w:ascii="Arial" w:hAnsi="Arial" w:cs="Arial"/>
                <w:sz w:val="17"/>
                <w:szCs w:val="17"/>
                <w:highlight w:val="yellow"/>
              </w:rPr>
              <w:t xml:space="preserve"> </w:t>
            </w:r>
          </w:p>
        </w:tc>
      </w:tr>
    </w:tbl>
    <w:p w:rsidR="006520E3" w:rsidRPr="0079369C" w:rsidRDefault="006520E3" w:rsidP="006520E3">
      <w:pPr>
        <w:rPr>
          <w:rFonts w:ascii="Arial" w:eastAsia="Calibri" w:hAnsi="Arial" w:cs="Arial"/>
          <w:spacing w:val="-1"/>
          <w:sz w:val="17"/>
          <w:szCs w:val="17"/>
        </w:rPr>
      </w:pPr>
    </w:p>
    <w:p w:rsidR="006520E3" w:rsidRPr="0079369C" w:rsidRDefault="006520E3" w:rsidP="006520E3">
      <w:pPr>
        <w:rPr>
          <w:rFonts w:ascii="Arial" w:eastAsia="Calibri" w:hAnsi="Arial" w:cs="Arial"/>
          <w:spacing w:val="-1"/>
          <w:sz w:val="17"/>
          <w:szCs w:val="17"/>
        </w:rPr>
      </w:pPr>
    </w:p>
    <w:p w:rsidR="006520E3" w:rsidRDefault="006520E3" w:rsidP="0061701E">
      <w:pPr>
        <w:spacing w:before="80" w:line="250" w:lineRule="exact"/>
        <w:ind w:left="709"/>
        <w:jc w:val="both"/>
        <w:rPr>
          <w:rFonts w:ascii="Arial" w:eastAsia="Calibri" w:hAnsi="Arial" w:cs="Arial"/>
          <w:spacing w:val="-1"/>
          <w:sz w:val="17"/>
          <w:szCs w:val="17"/>
        </w:rPr>
      </w:pPr>
      <w:r w:rsidRPr="0061701E">
        <w:rPr>
          <w:rFonts w:ascii="Arial" w:eastAsia="Calibri" w:hAnsi="Arial" w:cs="Arial"/>
          <w:spacing w:val="-1"/>
          <w:sz w:val="17"/>
          <w:szCs w:val="17"/>
        </w:rPr>
        <w:t xml:space="preserve">En este grupo se presenta la cantidad de </w:t>
      </w:r>
      <w:r w:rsidR="00AE63AF" w:rsidRPr="0061701E">
        <w:rPr>
          <w:rFonts w:ascii="Arial" w:hAnsi="Arial" w:cs="Arial"/>
          <w:sz w:val="17"/>
          <w:szCs w:val="17"/>
        </w:rPr>
        <w:t>1</w:t>
      </w:r>
      <w:proofErr w:type="gramStart"/>
      <w:r w:rsidR="00AE63AF" w:rsidRPr="0061701E">
        <w:rPr>
          <w:rFonts w:ascii="Arial" w:hAnsi="Arial" w:cs="Arial"/>
          <w:sz w:val="17"/>
          <w:szCs w:val="17"/>
        </w:rPr>
        <w:t>,497,359,931</w:t>
      </w:r>
      <w:proofErr w:type="gramEnd"/>
      <w:r w:rsidRPr="0061701E">
        <w:rPr>
          <w:rFonts w:ascii="Arial" w:hAnsi="Arial" w:cs="Arial"/>
          <w:color w:val="000000"/>
          <w:sz w:val="17"/>
          <w:szCs w:val="17"/>
        </w:rPr>
        <w:t xml:space="preserve"> </w:t>
      </w:r>
      <w:r w:rsidRPr="0061701E">
        <w:rPr>
          <w:rFonts w:ascii="Arial" w:eastAsia="Calibri" w:hAnsi="Arial" w:cs="Arial"/>
          <w:spacing w:val="-1"/>
          <w:sz w:val="17"/>
          <w:szCs w:val="17"/>
        </w:rPr>
        <w:t>correspondiente a los egresos contables no presupuestales por el reconocimiento de Fideicomisos</w:t>
      </w:r>
      <w:r w:rsidR="0061701E" w:rsidRPr="0061701E">
        <w:rPr>
          <w:rFonts w:ascii="Arial" w:eastAsia="Calibri" w:hAnsi="Arial" w:cs="Arial"/>
          <w:spacing w:val="-1"/>
          <w:sz w:val="17"/>
          <w:szCs w:val="17"/>
        </w:rPr>
        <w:t xml:space="preserve"> y a la Participación de la Hacienda Pública que tiene el Poder Ejecutivo en las Entidades Paraestatales.</w:t>
      </w:r>
    </w:p>
    <w:p w:rsidR="0061701E" w:rsidRPr="0061701E" w:rsidRDefault="0061701E" w:rsidP="0061701E">
      <w:pPr>
        <w:spacing w:before="80" w:line="250" w:lineRule="exact"/>
        <w:ind w:left="709"/>
        <w:jc w:val="both"/>
        <w:rPr>
          <w:rFonts w:ascii="Arial" w:eastAsia="Calibri" w:hAnsi="Arial" w:cs="Arial"/>
          <w:spacing w:val="-1"/>
          <w:sz w:val="17"/>
          <w:szCs w:val="17"/>
        </w:rPr>
      </w:pPr>
    </w:p>
    <w:p w:rsidR="006520E3" w:rsidRPr="006A777B" w:rsidRDefault="006520E3" w:rsidP="006520E3">
      <w:pPr>
        <w:spacing w:before="80" w:line="250" w:lineRule="exact"/>
        <w:ind w:left="709"/>
        <w:jc w:val="both"/>
        <w:rPr>
          <w:rFonts w:ascii="Arial" w:eastAsia="Calibri" w:hAnsi="Arial" w:cs="Arial"/>
          <w:spacing w:val="-1"/>
          <w:sz w:val="17"/>
          <w:szCs w:val="17"/>
          <w:highlight w:val="yellow"/>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p>
    <w:p w:rsidR="006520E3" w:rsidRPr="008E6BD0" w:rsidRDefault="006520E3" w:rsidP="006520E3">
      <w:pPr>
        <w:pStyle w:val="Prrafodelista"/>
        <w:numPr>
          <w:ilvl w:val="0"/>
          <w:numId w:val="10"/>
        </w:numPr>
        <w:autoSpaceDE w:val="0"/>
        <w:autoSpaceDN w:val="0"/>
        <w:adjustRightInd w:val="0"/>
        <w:spacing w:before="240" w:after="120"/>
        <w:jc w:val="both"/>
        <w:rPr>
          <w:rFonts w:ascii="Arial" w:hAnsi="Arial" w:cs="Arial"/>
          <w:b/>
          <w:sz w:val="17"/>
          <w:szCs w:val="17"/>
        </w:rPr>
      </w:pPr>
      <w:r w:rsidRPr="008E6BD0">
        <w:rPr>
          <w:rFonts w:ascii="Arial" w:hAnsi="Arial" w:cs="Arial"/>
          <w:b/>
          <w:sz w:val="17"/>
          <w:szCs w:val="17"/>
        </w:rPr>
        <w:lastRenderedPageBreak/>
        <w:t>Notas al Estado de Variación en la Hacienda Pública</w:t>
      </w:r>
    </w:p>
    <w:p w:rsidR="006520E3" w:rsidRPr="008E6BD0" w:rsidRDefault="006520E3" w:rsidP="006520E3">
      <w:pPr>
        <w:spacing w:before="80" w:line="250" w:lineRule="exact"/>
        <w:ind w:left="709"/>
        <w:jc w:val="both"/>
        <w:rPr>
          <w:rFonts w:ascii="Arial" w:eastAsia="Calibri" w:hAnsi="Arial" w:cs="Arial"/>
          <w:spacing w:val="-1"/>
          <w:sz w:val="17"/>
          <w:szCs w:val="17"/>
        </w:rPr>
      </w:pPr>
      <w:r w:rsidRPr="008E6BD0">
        <w:rPr>
          <w:rFonts w:ascii="Arial" w:eastAsia="Calibri" w:hAnsi="Arial" w:cs="Arial"/>
          <w:spacing w:val="-1"/>
          <w:sz w:val="17"/>
          <w:szCs w:val="17"/>
        </w:rPr>
        <w:t xml:space="preserve">Se informa de manera agrupada, acerca de las modificaciones a la Hacienda Pública contribuida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8E6BD0">
        <w:rPr>
          <w:rFonts w:ascii="Arial" w:eastAsia="Calibri" w:hAnsi="Arial" w:cs="Arial"/>
          <w:spacing w:val="-1"/>
          <w:sz w:val="17"/>
          <w:szCs w:val="17"/>
        </w:rPr>
        <w:t>:</w:t>
      </w:r>
    </w:p>
    <w:p w:rsidR="006520E3" w:rsidRPr="008E6BD0" w:rsidRDefault="006520E3" w:rsidP="006520E3">
      <w:pPr>
        <w:autoSpaceDE w:val="0"/>
        <w:autoSpaceDN w:val="0"/>
        <w:adjustRightInd w:val="0"/>
        <w:spacing w:before="240" w:after="120"/>
        <w:jc w:val="center"/>
        <w:rPr>
          <w:rFonts w:ascii="Arial" w:eastAsia="Calibri" w:hAnsi="Arial" w:cs="Arial"/>
          <w:b/>
          <w:spacing w:val="-1"/>
          <w:sz w:val="17"/>
          <w:szCs w:val="17"/>
        </w:rPr>
      </w:pPr>
      <w:r w:rsidRPr="008E6BD0">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6520E3" w:rsidRPr="008E6BD0"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8E6BD0" w:rsidRDefault="006520E3" w:rsidP="00137283">
            <w:pPr>
              <w:jc w:val="center"/>
              <w:rPr>
                <w:rFonts w:ascii="Arial" w:hAnsi="Arial" w:cs="Arial"/>
                <w:b/>
                <w:bCs/>
                <w:color w:val="000000"/>
                <w:sz w:val="17"/>
                <w:szCs w:val="17"/>
              </w:rPr>
            </w:pPr>
            <w:r w:rsidRPr="008E6BD0">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8E6BD0" w:rsidRDefault="006520E3" w:rsidP="00137283">
            <w:pPr>
              <w:jc w:val="center"/>
              <w:rPr>
                <w:rFonts w:ascii="Arial" w:hAnsi="Arial" w:cs="Arial"/>
                <w:b/>
                <w:bCs/>
                <w:color w:val="000000"/>
                <w:sz w:val="17"/>
                <w:szCs w:val="17"/>
              </w:rPr>
            </w:pPr>
            <w:r w:rsidRPr="008E6BD0">
              <w:rPr>
                <w:rFonts w:ascii="Arial" w:hAnsi="Arial" w:cs="Arial"/>
                <w:b/>
                <w:bCs/>
                <w:color w:val="000000"/>
                <w:sz w:val="17"/>
                <w:szCs w:val="17"/>
              </w:rPr>
              <w:t>MONTO</w:t>
            </w:r>
          </w:p>
        </w:tc>
      </w:tr>
      <w:tr w:rsidR="006520E3" w:rsidRPr="00137283"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37283" w:rsidRDefault="006520E3" w:rsidP="00137283">
            <w:pPr>
              <w:rPr>
                <w:rFonts w:ascii="Arial" w:hAnsi="Arial" w:cs="Arial"/>
                <w:b/>
                <w:bCs/>
                <w:color w:val="000000"/>
                <w:sz w:val="17"/>
                <w:szCs w:val="17"/>
              </w:rPr>
            </w:pPr>
            <w:r w:rsidRPr="00137283">
              <w:rPr>
                <w:rFonts w:ascii="Arial" w:hAnsi="Arial" w:cs="Arial"/>
                <w:b/>
                <w:bCs/>
                <w:color w:val="000000"/>
                <w:sz w:val="17"/>
                <w:szCs w:val="17"/>
              </w:rPr>
              <w:t>Aportaciones</w:t>
            </w:r>
          </w:p>
        </w:tc>
        <w:tc>
          <w:tcPr>
            <w:tcW w:w="2180" w:type="dxa"/>
            <w:tcBorders>
              <w:top w:val="nil"/>
              <w:left w:val="nil"/>
              <w:bottom w:val="single" w:sz="4" w:space="0" w:color="auto"/>
              <w:right w:val="single" w:sz="4" w:space="0" w:color="auto"/>
            </w:tcBorders>
            <w:shd w:val="clear" w:color="auto" w:fill="auto"/>
            <w:hideMark/>
          </w:tcPr>
          <w:p w:rsidR="006520E3" w:rsidRPr="00137283" w:rsidRDefault="00137283" w:rsidP="00137283">
            <w:pPr>
              <w:jc w:val="right"/>
              <w:rPr>
                <w:rFonts w:ascii="Arial" w:hAnsi="Arial" w:cs="Arial"/>
                <w:b/>
                <w:color w:val="000000"/>
                <w:sz w:val="17"/>
                <w:szCs w:val="17"/>
              </w:rPr>
            </w:pPr>
            <w:r w:rsidRPr="00137283">
              <w:rPr>
                <w:rFonts w:ascii="Arial" w:hAnsi="Arial" w:cs="Arial"/>
                <w:b/>
                <w:color w:val="000000"/>
                <w:sz w:val="17"/>
                <w:szCs w:val="17"/>
              </w:rPr>
              <w:t>25,914,120</w:t>
            </w:r>
            <w:r w:rsidR="006520E3" w:rsidRPr="00137283">
              <w:rPr>
                <w:rFonts w:ascii="Arial" w:hAnsi="Arial" w:cs="Arial"/>
                <w:b/>
                <w:color w:val="000000"/>
                <w:sz w:val="17"/>
                <w:szCs w:val="17"/>
              </w:rPr>
              <w:t xml:space="preserve"> </w:t>
            </w:r>
          </w:p>
        </w:tc>
      </w:tr>
      <w:tr w:rsidR="006520E3" w:rsidRPr="00137283"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6520E3" w:rsidRPr="00137283" w:rsidRDefault="006520E3" w:rsidP="00137283">
            <w:pPr>
              <w:ind w:firstLineChars="100" w:firstLine="171"/>
              <w:rPr>
                <w:rFonts w:ascii="Arial" w:hAnsi="Arial" w:cs="Arial"/>
                <w:b/>
                <w:color w:val="000000"/>
                <w:sz w:val="17"/>
                <w:szCs w:val="17"/>
              </w:rPr>
            </w:pPr>
            <w:r w:rsidRPr="00137283">
              <w:rPr>
                <w:rFonts w:ascii="Arial" w:hAnsi="Arial" w:cs="Arial"/>
                <w:b/>
                <w:color w:val="000000"/>
                <w:sz w:val="17"/>
                <w:szCs w:val="17"/>
              </w:rPr>
              <w:t>Bienes Inmuebles e Infraestructura</w:t>
            </w:r>
          </w:p>
        </w:tc>
        <w:tc>
          <w:tcPr>
            <w:tcW w:w="2180" w:type="dxa"/>
            <w:tcBorders>
              <w:top w:val="nil"/>
              <w:left w:val="nil"/>
              <w:bottom w:val="single" w:sz="4" w:space="0" w:color="auto"/>
              <w:right w:val="single" w:sz="4" w:space="0" w:color="auto"/>
            </w:tcBorders>
            <w:shd w:val="clear" w:color="auto" w:fill="auto"/>
          </w:tcPr>
          <w:p w:rsidR="006520E3" w:rsidRPr="00137283" w:rsidRDefault="00137283" w:rsidP="00137283">
            <w:pPr>
              <w:jc w:val="right"/>
              <w:rPr>
                <w:rFonts w:ascii="Arial" w:hAnsi="Arial" w:cs="Arial"/>
                <w:b/>
                <w:color w:val="000000"/>
                <w:sz w:val="17"/>
                <w:szCs w:val="17"/>
              </w:rPr>
            </w:pPr>
            <w:r w:rsidRPr="00137283">
              <w:rPr>
                <w:rFonts w:ascii="Arial" w:hAnsi="Arial" w:cs="Arial"/>
                <w:b/>
                <w:color w:val="000000"/>
                <w:sz w:val="17"/>
                <w:szCs w:val="17"/>
              </w:rPr>
              <w:t xml:space="preserve"> 73,228,479</w:t>
            </w:r>
            <w:r w:rsidR="006520E3" w:rsidRPr="00137283">
              <w:rPr>
                <w:rFonts w:ascii="Arial" w:hAnsi="Arial" w:cs="Arial"/>
                <w:b/>
                <w:color w:val="000000"/>
                <w:sz w:val="17"/>
                <w:szCs w:val="17"/>
              </w:rPr>
              <w:t xml:space="preserve"> </w:t>
            </w:r>
          </w:p>
        </w:tc>
      </w:tr>
      <w:tr w:rsidR="006520E3" w:rsidRPr="00137283"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6520E3" w:rsidRPr="00137283" w:rsidRDefault="006520E3" w:rsidP="00137283">
            <w:pPr>
              <w:ind w:left="709" w:firstLineChars="100" w:firstLine="170"/>
              <w:rPr>
                <w:rFonts w:ascii="Arial" w:hAnsi="Arial" w:cs="Arial"/>
                <w:color w:val="000000"/>
                <w:sz w:val="17"/>
                <w:szCs w:val="17"/>
              </w:rPr>
            </w:pPr>
            <w:r w:rsidRPr="00137283">
              <w:rPr>
                <w:rFonts w:ascii="Arial" w:hAnsi="Arial" w:cs="Arial"/>
                <w:color w:val="000000"/>
                <w:sz w:val="17"/>
                <w:szCs w:val="17"/>
              </w:rPr>
              <w:t>Altas y bajas del ejercicio</w:t>
            </w:r>
          </w:p>
        </w:tc>
        <w:tc>
          <w:tcPr>
            <w:tcW w:w="2180" w:type="dxa"/>
            <w:tcBorders>
              <w:top w:val="nil"/>
              <w:left w:val="nil"/>
              <w:bottom w:val="single" w:sz="4" w:space="0" w:color="auto"/>
              <w:right w:val="single" w:sz="4" w:space="0" w:color="auto"/>
            </w:tcBorders>
            <w:shd w:val="clear" w:color="auto" w:fill="auto"/>
          </w:tcPr>
          <w:p w:rsidR="006520E3" w:rsidRPr="00137283" w:rsidRDefault="00137283" w:rsidP="00137283">
            <w:pPr>
              <w:jc w:val="right"/>
              <w:rPr>
                <w:rFonts w:ascii="Arial" w:hAnsi="Arial" w:cs="Arial"/>
                <w:color w:val="000000"/>
                <w:sz w:val="17"/>
                <w:szCs w:val="17"/>
              </w:rPr>
            </w:pPr>
            <w:r w:rsidRPr="00137283">
              <w:rPr>
                <w:rFonts w:ascii="Arial" w:hAnsi="Arial" w:cs="Arial"/>
                <w:color w:val="000000"/>
                <w:sz w:val="17"/>
                <w:szCs w:val="17"/>
              </w:rPr>
              <w:t xml:space="preserve"> 73,228,479</w:t>
            </w:r>
            <w:r w:rsidR="006520E3" w:rsidRPr="00137283">
              <w:rPr>
                <w:rFonts w:ascii="Arial" w:hAnsi="Arial" w:cs="Arial"/>
                <w:color w:val="000000"/>
                <w:sz w:val="17"/>
                <w:szCs w:val="17"/>
              </w:rPr>
              <w:t xml:space="preserve"> </w:t>
            </w:r>
          </w:p>
        </w:tc>
      </w:tr>
      <w:tr w:rsidR="006520E3" w:rsidRPr="00137283"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37283" w:rsidRDefault="006520E3" w:rsidP="00137283">
            <w:pPr>
              <w:ind w:firstLineChars="100" w:firstLine="171"/>
              <w:rPr>
                <w:rFonts w:ascii="Arial" w:hAnsi="Arial" w:cs="Arial"/>
                <w:b/>
                <w:color w:val="000000"/>
                <w:sz w:val="17"/>
                <w:szCs w:val="17"/>
              </w:rPr>
            </w:pPr>
            <w:r w:rsidRPr="00137283">
              <w:rPr>
                <w:rFonts w:ascii="Arial" w:hAnsi="Arial" w:cs="Arial"/>
                <w:b/>
                <w:color w:val="000000"/>
                <w:sz w:val="17"/>
                <w:szCs w:val="17"/>
              </w:rPr>
              <w:t>Bienes Muebles</w:t>
            </w:r>
          </w:p>
        </w:tc>
        <w:tc>
          <w:tcPr>
            <w:tcW w:w="2180" w:type="dxa"/>
            <w:tcBorders>
              <w:top w:val="nil"/>
              <w:left w:val="nil"/>
              <w:bottom w:val="single" w:sz="4" w:space="0" w:color="auto"/>
              <w:right w:val="single" w:sz="4" w:space="0" w:color="auto"/>
            </w:tcBorders>
            <w:shd w:val="clear" w:color="auto" w:fill="auto"/>
          </w:tcPr>
          <w:p w:rsidR="006520E3" w:rsidRPr="00137283" w:rsidRDefault="00137283" w:rsidP="00137283">
            <w:pPr>
              <w:jc w:val="right"/>
              <w:rPr>
                <w:rFonts w:ascii="Arial" w:hAnsi="Arial" w:cs="Arial"/>
                <w:b/>
                <w:color w:val="000000"/>
                <w:sz w:val="17"/>
                <w:szCs w:val="17"/>
              </w:rPr>
            </w:pPr>
            <w:r w:rsidRPr="00137283">
              <w:rPr>
                <w:rFonts w:ascii="Arial" w:hAnsi="Arial" w:cs="Arial"/>
                <w:b/>
                <w:color w:val="000000"/>
                <w:sz w:val="17"/>
                <w:szCs w:val="17"/>
              </w:rPr>
              <w:t>-46,740,809</w:t>
            </w:r>
            <w:r w:rsidR="006520E3" w:rsidRPr="00137283">
              <w:rPr>
                <w:rFonts w:ascii="Arial" w:hAnsi="Arial" w:cs="Arial"/>
                <w:b/>
                <w:color w:val="000000"/>
                <w:sz w:val="17"/>
                <w:szCs w:val="17"/>
              </w:rPr>
              <w:t xml:space="preserve"> </w:t>
            </w:r>
          </w:p>
        </w:tc>
      </w:tr>
      <w:tr w:rsidR="006520E3" w:rsidRPr="00137283"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37283" w:rsidRDefault="006520E3" w:rsidP="00137283">
            <w:pPr>
              <w:ind w:left="709" w:firstLineChars="100" w:firstLine="170"/>
              <w:rPr>
                <w:rFonts w:ascii="Arial" w:hAnsi="Arial" w:cs="Arial"/>
                <w:color w:val="000000"/>
                <w:sz w:val="17"/>
                <w:szCs w:val="17"/>
              </w:rPr>
            </w:pPr>
            <w:r w:rsidRPr="00137283">
              <w:rPr>
                <w:rFonts w:ascii="Arial" w:hAnsi="Arial" w:cs="Arial"/>
                <w:color w:val="000000"/>
                <w:sz w:val="17"/>
                <w:szCs w:val="17"/>
              </w:rPr>
              <w:t>Altas y bajas del ejercicio</w:t>
            </w:r>
          </w:p>
        </w:tc>
        <w:tc>
          <w:tcPr>
            <w:tcW w:w="2180" w:type="dxa"/>
            <w:tcBorders>
              <w:top w:val="single" w:sz="4" w:space="0" w:color="auto"/>
              <w:left w:val="nil"/>
              <w:bottom w:val="single" w:sz="4" w:space="0" w:color="auto"/>
              <w:right w:val="single" w:sz="4" w:space="0" w:color="auto"/>
            </w:tcBorders>
            <w:shd w:val="clear" w:color="auto" w:fill="auto"/>
          </w:tcPr>
          <w:p w:rsidR="006520E3" w:rsidRPr="00137283" w:rsidRDefault="00137283" w:rsidP="00137283">
            <w:pPr>
              <w:jc w:val="right"/>
              <w:rPr>
                <w:rFonts w:ascii="Arial" w:hAnsi="Arial" w:cs="Arial"/>
                <w:color w:val="000000"/>
                <w:sz w:val="17"/>
                <w:szCs w:val="17"/>
              </w:rPr>
            </w:pPr>
            <w:r w:rsidRPr="00137283">
              <w:rPr>
                <w:rFonts w:ascii="Arial" w:hAnsi="Arial" w:cs="Arial"/>
                <w:color w:val="000000"/>
                <w:sz w:val="17"/>
                <w:szCs w:val="17"/>
              </w:rPr>
              <w:t>-46,740,809</w:t>
            </w:r>
            <w:r w:rsidR="006520E3" w:rsidRPr="00137283">
              <w:rPr>
                <w:rFonts w:ascii="Arial" w:hAnsi="Arial" w:cs="Arial"/>
                <w:color w:val="000000"/>
                <w:sz w:val="17"/>
                <w:szCs w:val="17"/>
              </w:rPr>
              <w:t xml:space="preserve"> </w:t>
            </w:r>
          </w:p>
        </w:tc>
      </w:tr>
      <w:tr w:rsidR="006520E3" w:rsidRPr="00137283"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137283" w:rsidRDefault="006520E3" w:rsidP="00137283">
            <w:pPr>
              <w:ind w:firstLineChars="100" w:firstLine="171"/>
              <w:rPr>
                <w:rFonts w:ascii="Arial" w:hAnsi="Arial" w:cs="Arial"/>
                <w:b/>
                <w:color w:val="000000"/>
                <w:sz w:val="17"/>
                <w:szCs w:val="17"/>
              </w:rPr>
            </w:pPr>
            <w:r w:rsidRPr="00137283">
              <w:rPr>
                <w:rFonts w:ascii="Arial" w:hAnsi="Arial" w:cs="Arial"/>
                <w:b/>
                <w:color w:val="000000"/>
                <w:sz w:val="17"/>
                <w:szCs w:val="17"/>
              </w:rPr>
              <w:t>Bienes Intangibles</w:t>
            </w:r>
          </w:p>
        </w:tc>
        <w:tc>
          <w:tcPr>
            <w:tcW w:w="2180" w:type="dxa"/>
            <w:tcBorders>
              <w:top w:val="single" w:sz="4" w:space="0" w:color="auto"/>
              <w:left w:val="nil"/>
              <w:bottom w:val="single" w:sz="4" w:space="0" w:color="auto"/>
              <w:right w:val="single" w:sz="4" w:space="0" w:color="auto"/>
            </w:tcBorders>
            <w:shd w:val="clear" w:color="auto" w:fill="auto"/>
          </w:tcPr>
          <w:p w:rsidR="006520E3" w:rsidRPr="00137283" w:rsidRDefault="006520E3" w:rsidP="00137283">
            <w:pPr>
              <w:jc w:val="right"/>
              <w:rPr>
                <w:rFonts w:ascii="Arial" w:hAnsi="Arial" w:cs="Arial"/>
                <w:b/>
                <w:color w:val="000000"/>
                <w:sz w:val="17"/>
                <w:szCs w:val="17"/>
              </w:rPr>
            </w:pPr>
            <w:r w:rsidRPr="00137283">
              <w:rPr>
                <w:rFonts w:ascii="Arial" w:hAnsi="Arial" w:cs="Arial"/>
                <w:b/>
                <w:color w:val="000000"/>
                <w:sz w:val="17"/>
                <w:szCs w:val="17"/>
              </w:rPr>
              <w:t xml:space="preserve">-601,596 </w:t>
            </w:r>
          </w:p>
        </w:tc>
      </w:tr>
      <w:tr w:rsidR="006520E3" w:rsidRPr="00137283"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37283" w:rsidRDefault="006520E3" w:rsidP="00137283">
            <w:pPr>
              <w:ind w:left="709" w:firstLineChars="100" w:firstLine="170"/>
              <w:rPr>
                <w:rFonts w:ascii="Arial" w:hAnsi="Arial" w:cs="Arial"/>
                <w:color w:val="000000"/>
                <w:sz w:val="17"/>
                <w:szCs w:val="17"/>
              </w:rPr>
            </w:pPr>
            <w:r w:rsidRPr="00137283">
              <w:rPr>
                <w:rFonts w:ascii="Arial" w:hAnsi="Arial" w:cs="Arial"/>
                <w:color w:val="000000"/>
                <w:sz w:val="17"/>
                <w:szCs w:val="17"/>
              </w:rPr>
              <w:t>Altas y bajas del ejercicio</w:t>
            </w:r>
          </w:p>
        </w:tc>
        <w:tc>
          <w:tcPr>
            <w:tcW w:w="2180" w:type="dxa"/>
            <w:tcBorders>
              <w:top w:val="single" w:sz="4" w:space="0" w:color="auto"/>
              <w:left w:val="nil"/>
              <w:bottom w:val="single" w:sz="4" w:space="0" w:color="auto"/>
              <w:right w:val="single" w:sz="4" w:space="0" w:color="auto"/>
            </w:tcBorders>
            <w:shd w:val="clear" w:color="auto" w:fill="auto"/>
          </w:tcPr>
          <w:p w:rsidR="006520E3" w:rsidRPr="00137283" w:rsidRDefault="006520E3" w:rsidP="00137283">
            <w:pPr>
              <w:jc w:val="right"/>
              <w:rPr>
                <w:rFonts w:ascii="Arial" w:hAnsi="Arial" w:cs="Arial"/>
                <w:color w:val="000000"/>
                <w:sz w:val="17"/>
                <w:szCs w:val="17"/>
              </w:rPr>
            </w:pPr>
            <w:r w:rsidRPr="00137283">
              <w:rPr>
                <w:rFonts w:ascii="Arial" w:hAnsi="Arial" w:cs="Arial"/>
                <w:color w:val="000000"/>
                <w:sz w:val="17"/>
                <w:szCs w:val="17"/>
              </w:rPr>
              <w:t xml:space="preserve">-601,596 </w:t>
            </w:r>
          </w:p>
        </w:tc>
      </w:tr>
      <w:tr w:rsidR="006520E3" w:rsidRPr="00137283"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137283" w:rsidRDefault="006520E3" w:rsidP="00137283">
            <w:pPr>
              <w:ind w:firstLineChars="100" w:firstLine="171"/>
              <w:rPr>
                <w:rFonts w:ascii="Arial" w:hAnsi="Arial" w:cs="Arial"/>
                <w:b/>
                <w:color w:val="000000"/>
                <w:sz w:val="17"/>
                <w:szCs w:val="17"/>
              </w:rPr>
            </w:pPr>
            <w:r w:rsidRPr="00137283">
              <w:rPr>
                <w:rFonts w:ascii="Arial" w:hAnsi="Arial" w:cs="Arial"/>
                <w:b/>
                <w:color w:val="000000"/>
                <w:sz w:val="17"/>
                <w:szCs w:val="17"/>
              </w:rPr>
              <w:t>Transferencias de capital en dinero o en especie</w:t>
            </w:r>
          </w:p>
        </w:tc>
        <w:tc>
          <w:tcPr>
            <w:tcW w:w="2180" w:type="dxa"/>
            <w:tcBorders>
              <w:top w:val="single" w:sz="4" w:space="0" w:color="auto"/>
              <w:left w:val="nil"/>
              <w:bottom w:val="single" w:sz="4" w:space="0" w:color="auto"/>
              <w:right w:val="single" w:sz="4" w:space="0" w:color="auto"/>
            </w:tcBorders>
            <w:shd w:val="clear" w:color="auto" w:fill="auto"/>
          </w:tcPr>
          <w:p w:rsidR="006520E3" w:rsidRPr="00137283" w:rsidRDefault="00137283" w:rsidP="00137283">
            <w:pPr>
              <w:jc w:val="right"/>
              <w:rPr>
                <w:rFonts w:ascii="Arial" w:hAnsi="Arial" w:cs="Arial"/>
                <w:b/>
                <w:color w:val="000000"/>
                <w:sz w:val="17"/>
                <w:szCs w:val="17"/>
              </w:rPr>
            </w:pPr>
            <w:r w:rsidRPr="00137283">
              <w:rPr>
                <w:rFonts w:ascii="Arial" w:hAnsi="Arial" w:cs="Arial"/>
                <w:b/>
                <w:color w:val="000000"/>
                <w:sz w:val="17"/>
                <w:szCs w:val="17"/>
              </w:rPr>
              <w:t>28,045</w:t>
            </w:r>
            <w:r w:rsidR="006520E3" w:rsidRPr="00137283">
              <w:rPr>
                <w:rFonts w:ascii="Arial" w:hAnsi="Arial" w:cs="Arial"/>
                <w:b/>
                <w:color w:val="000000"/>
                <w:sz w:val="17"/>
                <w:szCs w:val="17"/>
              </w:rPr>
              <w:t xml:space="preserve"> </w:t>
            </w:r>
          </w:p>
        </w:tc>
      </w:tr>
      <w:tr w:rsidR="006520E3" w:rsidRPr="00137283"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520E3" w:rsidRPr="00137283" w:rsidRDefault="006520E3" w:rsidP="00137283">
            <w:pPr>
              <w:ind w:left="709" w:firstLineChars="100" w:firstLine="170"/>
              <w:rPr>
                <w:rFonts w:ascii="Arial" w:hAnsi="Arial" w:cs="Arial"/>
                <w:color w:val="000000"/>
                <w:sz w:val="17"/>
                <w:szCs w:val="17"/>
              </w:rPr>
            </w:pPr>
            <w:r w:rsidRPr="00137283">
              <w:rPr>
                <w:rFonts w:ascii="Arial" w:hAnsi="Arial" w:cs="Arial"/>
                <w:color w:val="000000"/>
                <w:sz w:val="17"/>
                <w:szCs w:val="17"/>
              </w:rPr>
              <w:t>Altas y bajas del ejercicio</w:t>
            </w:r>
          </w:p>
        </w:tc>
        <w:tc>
          <w:tcPr>
            <w:tcW w:w="2180" w:type="dxa"/>
            <w:tcBorders>
              <w:top w:val="single" w:sz="4" w:space="0" w:color="auto"/>
              <w:left w:val="nil"/>
              <w:bottom w:val="single" w:sz="4" w:space="0" w:color="auto"/>
              <w:right w:val="single" w:sz="4" w:space="0" w:color="auto"/>
            </w:tcBorders>
            <w:shd w:val="clear" w:color="auto" w:fill="auto"/>
          </w:tcPr>
          <w:p w:rsidR="006520E3" w:rsidRPr="00137283" w:rsidRDefault="00137283" w:rsidP="00137283">
            <w:pPr>
              <w:jc w:val="right"/>
              <w:rPr>
                <w:rFonts w:ascii="Arial" w:hAnsi="Arial" w:cs="Arial"/>
                <w:color w:val="000000"/>
                <w:sz w:val="17"/>
                <w:szCs w:val="17"/>
              </w:rPr>
            </w:pPr>
            <w:r w:rsidRPr="00137283">
              <w:rPr>
                <w:rFonts w:ascii="Arial" w:hAnsi="Arial" w:cs="Arial"/>
                <w:color w:val="000000"/>
                <w:sz w:val="17"/>
                <w:szCs w:val="17"/>
              </w:rPr>
              <w:t>28,045</w:t>
            </w:r>
            <w:r w:rsidR="006520E3" w:rsidRPr="00137283">
              <w:rPr>
                <w:rFonts w:ascii="Arial" w:hAnsi="Arial" w:cs="Arial"/>
                <w:color w:val="000000"/>
                <w:sz w:val="17"/>
                <w:szCs w:val="17"/>
              </w:rPr>
              <w:t xml:space="preserve"> </w:t>
            </w:r>
          </w:p>
        </w:tc>
      </w:tr>
    </w:tbl>
    <w:p w:rsidR="006520E3" w:rsidRPr="00137283" w:rsidRDefault="006520E3" w:rsidP="006520E3">
      <w:pPr>
        <w:spacing w:before="80" w:line="250" w:lineRule="exact"/>
        <w:ind w:left="709"/>
        <w:jc w:val="both"/>
        <w:rPr>
          <w:rFonts w:ascii="Arial" w:eastAsia="Calibri" w:hAnsi="Arial" w:cs="Arial"/>
          <w:spacing w:val="-1"/>
          <w:sz w:val="17"/>
          <w:szCs w:val="17"/>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0"/>
        <w:gridCol w:w="2180"/>
      </w:tblGrid>
      <w:tr w:rsidR="006520E3" w:rsidRPr="00137283" w:rsidTr="00137283">
        <w:trPr>
          <w:trHeight w:val="240"/>
          <w:jc w:val="center"/>
        </w:trPr>
        <w:tc>
          <w:tcPr>
            <w:tcW w:w="4900" w:type="dxa"/>
            <w:shd w:val="clear" w:color="000000" w:fill="FFFFFF"/>
            <w:vAlign w:val="center"/>
            <w:hideMark/>
          </w:tcPr>
          <w:p w:rsidR="006520E3" w:rsidRPr="00137283" w:rsidRDefault="006520E3" w:rsidP="00137283">
            <w:pPr>
              <w:ind w:firstLineChars="100" w:firstLine="171"/>
              <w:rPr>
                <w:rFonts w:ascii="Arial" w:hAnsi="Arial" w:cs="Arial"/>
                <w:b/>
                <w:color w:val="000000"/>
                <w:sz w:val="17"/>
                <w:szCs w:val="17"/>
              </w:rPr>
            </w:pPr>
            <w:r w:rsidRPr="00137283">
              <w:rPr>
                <w:rFonts w:ascii="Arial" w:hAnsi="Arial" w:cs="Arial"/>
                <w:b/>
                <w:color w:val="000000"/>
                <w:sz w:val="17"/>
                <w:szCs w:val="17"/>
              </w:rPr>
              <w:t>Donaciones</w:t>
            </w:r>
          </w:p>
        </w:tc>
        <w:tc>
          <w:tcPr>
            <w:tcW w:w="2180" w:type="dxa"/>
            <w:shd w:val="clear" w:color="auto" w:fill="auto"/>
          </w:tcPr>
          <w:p w:rsidR="006520E3" w:rsidRPr="00137283" w:rsidRDefault="00137283" w:rsidP="00137283">
            <w:pPr>
              <w:jc w:val="right"/>
              <w:rPr>
                <w:rFonts w:ascii="Arial" w:hAnsi="Arial" w:cs="Arial"/>
                <w:b/>
                <w:color w:val="000000"/>
                <w:sz w:val="17"/>
                <w:szCs w:val="17"/>
              </w:rPr>
            </w:pPr>
            <w:r w:rsidRPr="00137283">
              <w:rPr>
                <w:rFonts w:ascii="Arial" w:hAnsi="Arial" w:cs="Arial"/>
                <w:b/>
                <w:color w:val="000000"/>
                <w:sz w:val="17"/>
                <w:szCs w:val="17"/>
              </w:rPr>
              <w:t>614,222</w:t>
            </w:r>
            <w:r w:rsidR="006520E3" w:rsidRPr="00137283">
              <w:rPr>
                <w:rFonts w:ascii="Arial" w:hAnsi="Arial" w:cs="Arial"/>
                <w:b/>
                <w:color w:val="000000"/>
                <w:sz w:val="17"/>
                <w:szCs w:val="17"/>
              </w:rPr>
              <w:t xml:space="preserve"> </w:t>
            </w:r>
          </w:p>
        </w:tc>
      </w:tr>
      <w:tr w:rsidR="006520E3" w:rsidRPr="000D2442" w:rsidTr="00137283">
        <w:trPr>
          <w:trHeight w:val="240"/>
          <w:jc w:val="center"/>
        </w:trPr>
        <w:tc>
          <w:tcPr>
            <w:tcW w:w="4900" w:type="dxa"/>
            <w:shd w:val="clear" w:color="000000" w:fill="FFFFFF"/>
            <w:vAlign w:val="center"/>
          </w:tcPr>
          <w:p w:rsidR="006520E3" w:rsidRPr="00137283" w:rsidRDefault="006520E3" w:rsidP="00137283">
            <w:pPr>
              <w:ind w:left="709" w:firstLineChars="100" w:firstLine="170"/>
              <w:rPr>
                <w:rFonts w:ascii="Arial" w:hAnsi="Arial" w:cs="Arial"/>
                <w:color w:val="000000"/>
                <w:sz w:val="17"/>
                <w:szCs w:val="17"/>
              </w:rPr>
            </w:pPr>
            <w:r w:rsidRPr="00137283">
              <w:rPr>
                <w:rFonts w:ascii="Arial" w:hAnsi="Arial" w:cs="Arial"/>
                <w:color w:val="000000"/>
                <w:sz w:val="17"/>
                <w:szCs w:val="17"/>
              </w:rPr>
              <w:t>Altas y bajas del ejercicio</w:t>
            </w:r>
          </w:p>
        </w:tc>
        <w:tc>
          <w:tcPr>
            <w:tcW w:w="2180" w:type="dxa"/>
            <w:shd w:val="clear" w:color="auto" w:fill="auto"/>
          </w:tcPr>
          <w:p w:rsidR="006520E3" w:rsidRPr="00137283" w:rsidRDefault="00137283" w:rsidP="00137283">
            <w:pPr>
              <w:jc w:val="right"/>
              <w:rPr>
                <w:rFonts w:ascii="Arial" w:hAnsi="Arial" w:cs="Arial"/>
                <w:color w:val="000000"/>
                <w:sz w:val="17"/>
                <w:szCs w:val="17"/>
              </w:rPr>
            </w:pPr>
            <w:r w:rsidRPr="00137283">
              <w:rPr>
                <w:rFonts w:ascii="Arial" w:hAnsi="Arial" w:cs="Arial"/>
                <w:color w:val="000000"/>
                <w:sz w:val="17"/>
                <w:szCs w:val="17"/>
              </w:rPr>
              <w:t xml:space="preserve"> 614,222</w:t>
            </w:r>
            <w:r w:rsidR="006520E3" w:rsidRPr="00137283">
              <w:rPr>
                <w:rFonts w:ascii="Arial" w:hAnsi="Arial" w:cs="Arial"/>
                <w:color w:val="000000"/>
                <w:sz w:val="17"/>
                <w:szCs w:val="17"/>
              </w:rPr>
              <w:t xml:space="preserve"> </w:t>
            </w:r>
          </w:p>
        </w:tc>
      </w:tr>
    </w:tbl>
    <w:p w:rsidR="006520E3" w:rsidRPr="006506FF"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ind w:left="709"/>
        <w:jc w:val="both"/>
        <w:rPr>
          <w:rFonts w:ascii="Arial" w:eastAsia="Calibri" w:hAnsi="Arial" w:cs="Arial"/>
          <w:spacing w:val="-1"/>
          <w:sz w:val="17"/>
          <w:szCs w:val="17"/>
        </w:rPr>
      </w:pPr>
    </w:p>
    <w:p w:rsidR="000E33E4" w:rsidRPr="000E33E4" w:rsidRDefault="000E33E4" w:rsidP="000E33E4">
      <w:pPr>
        <w:ind w:left="708"/>
        <w:jc w:val="both"/>
        <w:rPr>
          <w:rFonts w:ascii="Arial" w:hAnsi="Arial" w:cs="Arial"/>
          <w:sz w:val="17"/>
          <w:szCs w:val="17"/>
        </w:rPr>
      </w:pPr>
      <w:r w:rsidRPr="000E33E4">
        <w:rPr>
          <w:rFonts w:ascii="Arial" w:hAnsi="Arial" w:cs="Arial"/>
          <w:sz w:val="17"/>
          <w:szCs w:val="17"/>
        </w:rPr>
        <w:t>Dentro de la cuenta de Bienes Inmuebles e Infraestructura, destaca la incorporación del Inmueble ubicado en Boulevard. Bernardo Quintana S/N Fraccionamient</w:t>
      </w:r>
      <w:r w:rsidR="000B7DD7">
        <w:rPr>
          <w:rFonts w:ascii="Arial" w:hAnsi="Arial" w:cs="Arial"/>
          <w:sz w:val="17"/>
          <w:szCs w:val="17"/>
        </w:rPr>
        <w:t>o Vista 2000 por un importe de</w:t>
      </w:r>
      <w:r w:rsidR="000E14F0">
        <w:rPr>
          <w:rFonts w:ascii="Arial" w:hAnsi="Arial" w:cs="Arial"/>
          <w:sz w:val="17"/>
          <w:szCs w:val="17"/>
        </w:rPr>
        <w:t xml:space="preserve"> 35,856,841</w:t>
      </w:r>
      <w:r w:rsidRPr="000E33E4">
        <w:rPr>
          <w:rFonts w:ascii="Arial" w:hAnsi="Arial" w:cs="Arial"/>
          <w:sz w:val="17"/>
          <w:szCs w:val="17"/>
        </w:rPr>
        <w:t>, así como del inmueble ubicado en Circuito General Lázaro Cárdenas No. 100, Fraccion</w:t>
      </w:r>
      <w:r w:rsidR="000E14F0">
        <w:rPr>
          <w:rFonts w:ascii="Arial" w:hAnsi="Arial" w:cs="Arial"/>
          <w:sz w:val="17"/>
          <w:szCs w:val="17"/>
        </w:rPr>
        <w:t>amiento Lázaro Cárdenas por 31,</w:t>
      </w:r>
      <w:r w:rsidRPr="000E33E4">
        <w:rPr>
          <w:rFonts w:ascii="Arial" w:hAnsi="Arial" w:cs="Arial"/>
          <w:sz w:val="17"/>
          <w:szCs w:val="17"/>
        </w:rPr>
        <w:t>783,607, las oficinas número 36, 37 y 38 ubicadas en Montecito 38, Col. Nápoles por un importe de 5,032,720 en la Ciudad de México</w:t>
      </w:r>
      <w:r w:rsidR="00526821">
        <w:rPr>
          <w:rFonts w:ascii="Arial" w:hAnsi="Arial" w:cs="Arial"/>
          <w:sz w:val="17"/>
          <w:szCs w:val="17"/>
        </w:rPr>
        <w:t>.</w:t>
      </w:r>
    </w:p>
    <w:p w:rsidR="000E33E4" w:rsidRPr="000E33E4" w:rsidRDefault="000E33E4" w:rsidP="000E33E4">
      <w:pPr>
        <w:spacing w:before="80" w:line="250" w:lineRule="exact"/>
        <w:ind w:left="709"/>
        <w:jc w:val="both"/>
        <w:rPr>
          <w:rFonts w:ascii="Arial" w:hAnsi="Arial" w:cs="Arial"/>
          <w:sz w:val="17"/>
          <w:szCs w:val="17"/>
        </w:rPr>
      </w:pPr>
    </w:p>
    <w:p w:rsidR="000E33E4" w:rsidRPr="000E33E4" w:rsidRDefault="000E33E4" w:rsidP="000E33E4">
      <w:pPr>
        <w:spacing w:before="80" w:line="250" w:lineRule="exact"/>
        <w:ind w:left="709"/>
        <w:jc w:val="both"/>
        <w:rPr>
          <w:rFonts w:ascii="Arial" w:hAnsi="Arial" w:cs="Arial"/>
          <w:sz w:val="17"/>
          <w:szCs w:val="17"/>
        </w:rPr>
      </w:pPr>
      <w:r w:rsidRPr="000E33E4">
        <w:rPr>
          <w:rFonts w:ascii="Arial" w:hAnsi="Arial" w:cs="Arial"/>
          <w:sz w:val="17"/>
          <w:szCs w:val="17"/>
        </w:rPr>
        <w:t>En lo que respecta a la cuenta de Bienes Muebles, destaca el decremento primordialmente por las bajas contables ocasionadas por Bienes Informáticos por 14,553,282; Equipo de Defensa y Seguridad por 7,360,783; Maquinaria y Equipo Eléctrico y Electrónico por 6,393,948; Vehícul</w:t>
      </w:r>
      <w:r w:rsidR="000B7DD7">
        <w:rPr>
          <w:rFonts w:ascii="Arial" w:hAnsi="Arial" w:cs="Arial"/>
          <w:sz w:val="17"/>
          <w:szCs w:val="17"/>
        </w:rPr>
        <w:t xml:space="preserve">os y Equipo de Transporte por  </w:t>
      </w:r>
      <w:r w:rsidRPr="000E33E4">
        <w:rPr>
          <w:rFonts w:ascii="Arial" w:hAnsi="Arial" w:cs="Arial"/>
          <w:sz w:val="17"/>
          <w:szCs w:val="17"/>
        </w:rPr>
        <w:t>4,975,000; Otros Equipos de Transporte por 3,120,410.74 y por último Mobiliario y Equipo Administración por 2,054,443.</w:t>
      </w:r>
    </w:p>
    <w:p w:rsidR="000E33E4" w:rsidRPr="000E33E4" w:rsidRDefault="000E33E4" w:rsidP="000E33E4">
      <w:pPr>
        <w:spacing w:before="80" w:line="250" w:lineRule="exact"/>
        <w:ind w:left="709"/>
        <w:jc w:val="both"/>
        <w:rPr>
          <w:rFonts w:ascii="Arial" w:hAnsi="Arial" w:cs="Arial"/>
          <w:sz w:val="17"/>
          <w:szCs w:val="17"/>
        </w:rPr>
      </w:pPr>
      <w:r w:rsidRPr="000E33E4">
        <w:rPr>
          <w:rFonts w:ascii="Arial" w:hAnsi="Arial" w:cs="Arial"/>
          <w:sz w:val="17"/>
          <w:szCs w:val="17"/>
        </w:rPr>
        <w:t xml:space="preserve"> </w:t>
      </w:r>
    </w:p>
    <w:p w:rsidR="000E33E4" w:rsidRPr="000E33E4" w:rsidRDefault="000E33E4" w:rsidP="000E33E4">
      <w:pPr>
        <w:spacing w:before="80" w:line="250" w:lineRule="exact"/>
        <w:ind w:left="709"/>
        <w:jc w:val="both"/>
        <w:rPr>
          <w:rFonts w:ascii="Arial" w:hAnsi="Arial" w:cs="Arial"/>
          <w:sz w:val="17"/>
          <w:szCs w:val="17"/>
        </w:rPr>
      </w:pPr>
      <w:r w:rsidRPr="000E33E4">
        <w:rPr>
          <w:rFonts w:ascii="Arial" w:hAnsi="Arial" w:cs="Arial"/>
          <w:sz w:val="17"/>
          <w:szCs w:val="17"/>
        </w:rPr>
        <w:t>El decremento en Bienes Intangibles corresponde a bajas del mes de junio solicitadas por la Dirección de Control Patrimonial por concepto de software por 521,336 y lic</w:t>
      </w:r>
      <w:r w:rsidR="000B7DD7">
        <w:rPr>
          <w:rFonts w:ascii="Arial" w:hAnsi="Arial" w:cs="Arial"/>
          <w:sz w:val="17"/>
          <w:szCs w:val="17"/>
        </w:rPr>
        <w:t>encias informáticas por 80,260.</w:t>
      </w:r>
    </w:p>
    <w:p w:rsidR="000E33E4" w:rsidRPr="000E33E4" w:rsidRDefault="000E33E4" w:rsidP="000E33E4">
      <w:pPr>
        <w:spacing w:before="80" w:line="250" w:lineRule="exact"/>
        <w:ind w:left="709"/>
        <w:jc w:val="both"/>
        <w:rPr>
          <w:rFonts w:ascii="Arial" w:hAnsi="Arial" w:cs="Arial"/>
          <w:sz w:val="17"/>
          <w:szCs w:val="17"/>
        </w:rPr>
      </w:pPr>
    </w:p>
    <w:p w:rsidR="000E33E4" w:rsidRDefault="000E33E4" w:rsidP="000E33E4">
      <w:pPr>
        <w:spacing w:before="80" w:line="250" w:lineRule="exact"/>
        <w:ind w:left="709"/>
        <w:jc w:val="both"/>
        <w:rPr>
          <w:rFonts w:ascii="Arial" w:hAnsi="Arial" w:cs="Arial"/>
          <w:sz w:val="17"/>
          <w:szCs w:val="17"/>
        </w:rPr>
      </w:pPr>
      <w:r w:rsidRPr="000E33E4">
        <w:rPr>
          <w:rFonts w:ascii="Arial" w:hAnsi="Arial" w:cs="Arial"/>
          <w:sz w:val="17"/>
          <w:szCs w:val="17"/>
        </w:rPr>
        <w:t xml:space="preserve">El Incremento en Transferencias de capital en dinero o en especie corresponde al depósito del Servicio Nacional del </w:t>
      </w:r>
      <w:r w:rsidR="00593028">
        <w:rPr>
          <w:rFonts w:ascii="Arial" w:hAnsi="Arial" w:cs="Arial"/>
          <w:sz w:val="17"/>
          <w:szCs w:val="17"/>
        </w:rPr>
        <w:t>E</w:t>
      </w:r>
      <w:r w:rsidRPr="000E33E4">
        <w:rPr>
          <w:rFonts w:ascii="Arial" w:hAnsi="Arial" w:cs="Arial"/>
          <w:sz w:val="17"/>
          <w:szCs w:val="17"/>
        </w:rPr>
        <w:t>mpleo por un importe de 30,545, así como a la desincorporación de un tanque de gas carbónico del Instituto de Capacitación y Estudios de Seguridad del Estado de Querétaro por 2,500.</w:t>
      </w:r>
    </w:p>
    <w:p w:rsidR="000E14F0" w:rsidRPr="000E33E4" w:rsidRDefault="000E14F0" w:rsidP="000E33E4">
      <w:pPr>
        <w:spacing w:before="80" w:line="250" w:lineRule="exact"/>
        <w:ind w:left="709"/>
        <w:jc w:val="both"/>
        <w:rPr>
          <w:rFonts w:ascii="Arial" w:hAnsi="Arial" w:cs="Arial"/>
          <w:sz w:val="17"/>
          <w:szCs w:val="17"/>
        </w:rPr>
      </w:pPr>
    </w:p>
    <w:p w:rsidR="000E33E4" w:rsidRDefault="000E33E4" w:rsidP="000E33E4">
      <w:pPr>
        <w:spacing w:before="80" w:line="250" w:lineRule="exact"/>
        <w:ind w:left="709"/>
        <w:jc w:val="both"/>
        <w:rPr>
          <w:rFonts w:ascii="Arial" w:hAnsi="Arial" w:cs="Arial"/>
          <w:sz w:val="17"/>
          <w:szCs w:val="17"/>
        </w:rPr>
      </w:pPr>
      <w:r w:rsidRPr="000E33E4">
        <w:rPr>
          <w:rFonts w:ascii="Arial" w:hAnsi="Arial" w:cs="Arial"/>
          <w:sz w:val="17"/>
          <w:szCs w:val="17"/>
        </w:rPr>
        <w:t>El incremento de donaciones corresponde a la Secretaría de Cultura por un importe de 358,647 de 13 piezas de contrabajo, 21 piezas de chelo y un óleo, Centro de Congresos por 220,774 de equipo de sonido y la Secretaría de Desarrollo Sustentable por un importe de 34,800 por concepto de un desfibrilador.</w:t>
      </w:r>
      <w:r>
        <w:rPr>
          <w:rFonts w:ascii="Arial" w:hAnsi="Arial" w:cs="Arial"/>
          <w:sz w:val="17"/>
          <w:szCs w:val="17"/>
        </w:rPr>
        <w:t xml:space="preserve"> </w:t>
      </w:r>
    </w:p>
    <w:p w:rsidR="000E33E4" w:rsidRPr="00B81C4D" w:rsidRDefault="000E33E4" w:rsidP="000E33E4">
      <w:pPr>
        <w:spacing w:before="80" w:line="250" w:lineRule="exact"/>
        <w:jc w:val="both"/>
        <w:rPr>
          <w:rFonts w:ascii="Arial" w:hAnsi="Arial" w:cs="Arial"/>
          <w:sz w:val="17"/>
          <w:szCs w:val="17"/>
        </w:rPr>
      </w:pPr>
    </w:p>
    <w:p w:rsidR="006520E3" w:rsidRPr="00497EEA" w:rsidRDefault="006520E3" w:rsidP="006520E3">
      <w:pPr>
        <w:ind w:left="709"/>
        <w:rPr>
          <w:rFonts w:ascii="Arial" w:eastAsia="Calibri" w:hAnsi="Arial" w:cs="Arial"/>
          <w:spacing w:val="-1"/>
          <w:sz w:val="17"/>
          <w:szCs w:val="17"/>
        </w:rPr>
      </w:pPr>
      <w:r>
        <w:rPr>
          <w:rFonts w:ascii="Arial" w:eastAsia="Calibri" w:hAnsi="Arial" w:cs="Arial"/>
          <w:spacing w:val="-1"/>
          <w:sz w:val="17"/>
          <w:szCs w:val="17"/>
        </w:rPr>
        <w:lastRenderedPageBreak/>
        <w:t>Se informa de manera agrupada</w:t>
      </w:r>
      <w:r w:rsidRPr="00497EEA">
        <w:rPr>
          <w:rFonts w:ascii="Arial" w:eastAsia="Calibri" w:hAnsi="Arial" w:cs="Arial"/>
          <w:spacing w:val="-1"/>
          <w:sz w:val="17"/>
          <w:szCs w:val="17"/>
        </w:rPr>
        <w:t xml:space="preserve"> </w:t>
      </w:r>
      <w:r>
        <w:rPr>
          <w:rFonts w:ascii="Arial" w:eastAsia="Calibri" w:hAnsi="Arial" w:cs="Arial"/>
          <w:spacing w:val="-1"/>
          <w:sz w:val="17"/>
          <w:szCs w:val="17"/>
        </w:rPr>
        <w:t>el</w:t>
      </w:r>
      <w:r w:rsidRPr="00497EEA">
        <w:rPr>
          <w:rFonts w:ascii="Arial" w:eastAsia="Calibri" w:hAnsi="Arial" w:cs="Arial"/>
          <w:spacing w:val="-1"/>
          <w:sz w:val="17"/>
          <w:szCs w:val="17"/>
        </w:rPr>
        <w:t xml:space="preserve"> monto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497EEA">
        <w:rPr>
          <w:rFonts w:ascii="Arial" w:eastAsia="Calibri" w:hAnsi="Arial" w:cs="Arial"/>
          <w:spacing w:val="-1"/>
          <w:sz w:val="17"/>
          <w:szCs w:val="17"/>
        </w:rPr>
        <w:t xml:space="preserve"> así como la procedencia de los recursos que modifican a la Hacienda Pública generada:</w:t>
      </w:r>
    </w:p>
    <w:p w:rsidR="006520E3" w:rsidRPr="00497EEA" w:rsidRDefault="006520E3" w:rsidP="006520E3">
      <w:pPr>
        <w:autoSpaceDE w:val="0"/>
        <w:autoSpaceDN w:val="0"/>
        <w:adjustRightInd w:val="0"/>
        <w:spacing w:before="240" w:after="120"/>
        <w:jc w:val="center"/>
        <w:rPr>
          <w:rFonts w:ascii="Arial" w:eastAsia="Calibri" w:hAnsi="Arial" w:cs="Arial"/>
          <w:b/>
          <w:spacing w:val="-1"/>
          <w:sz w:val="17"/>
          <w:szCs w:val="17"/>
        </w:rPr>
      </w:pPr>
      <w:r w:rsidRPr="00497EEA">
        <w:rPr>
          <w:rFonts w:ascii="Arial" w:eastAsia="Calibri" w:hAnsi="Arial" w:cs="Arial"/>
          <w:b/>
          <w:spacing w:val="-1"/>
          <w:sz w:val="17"/>
          <w:szCs w:val="17"/>
        </w:rPr>
        <w:t>(Pesos)</w:t>
      </w:r>
    </w:p>
    <w:tbl>
      <w:tblPr>
        <w:tblpPr w:leftFromText="141" w:rightFromText="141" w:vertAnchor="text" w:tblpXSpec="center" w:tblpY="1"/>
        <w:tblOverlap w:val="never"/>
        <w:tblW w:w="6781" w:type="dxa"/>
        <w:tblCellMar>
          <w:left w:w="70" w:type="dxa"/>
          <w:right w:w="70" w:type="dxa"/>
        </w:tblCellMar>
        <w:tblLook w:val="04A0" w:firstRow="1" w:lastRow="0" w:firstColumn="1" w:lastColumn="0" w:noHBand="0" w:noVBand="1"/>
      </w:tblPr>
      <w:tblGrid>
        <w:gridCol w:w="3390"/>
        <w:gridCol w:w="3391"/>
      </w:tblGrid>
      <w:tr w:rsidR="006520E3" w:rsidRPr="00497EEA" w:rsidTr="00666FE1">
        <w:trPr>
          <w:trHeight w:val="227"/>
        </w:trPr>
        <w:tc>
          <w:tcPr>
            <w:tcW w:w="339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497EEA" w:rsidRDefault="006520E3" w:rsidP="003C66D1">
            <w:pPr>
              <w:jc w:val="center"/>
              <w:rPr>
                <w:rFonts w:ascii="Arial" w:hAnsi="Arial" w:cs="Arial"/>
                <w:b/>
                <w:bCs/>
                <w:color w:val="000000"/>
                <w:sz w:val="17"/>
                <w:szCs w:val="17"/>
              </w:rPr>
            </w:pPr>
            <w:r w:rsidRPr="00497EEA">
              <w:rPr>
                <w:rFonts w:ascii="Arial" w:hAnsi="Arial" w:cs="Arial"/>
                <w:b/>
                <w:bCs/>
                <w:color w:val="000000"/>
                <w:sz w:val="17"/>
                <w:szCs w:val="17"/>
              </w:rPr>
              <w:t>Cuenta</w:t>
            </w:r>
          </w:p>
        </w:tc>
        <w:tc>
          <w:tcPr>
            <w:tcW w:w="3391" w:type="dxa"/>
            <w:tcBorders>
              <w:top w:val="single" w:sz="4" w:space="0" w:color="auto"/>
              <w:left w:val="nil"/>
              <w:bottom w:val="single" w:sz="4" w:space="0" w:color="auto"/>
              <w:right w:val="single" w:sz="4" w:space="0" w:color="auto"/>
            </w:tcBorders>
            <w:shd w:val="clear" w:color="auto" w:fill="D5DCE4"/>
            <w:vAlign w:val="center"/>
            <w:hideMark/>
          </w:tcPr>
          <w:p w:rsidR="006520E3" w:rsidRPr="00497EEA" w:rsidRDefault="006520E3" w:rsidP="003C66D1">
            <w:pPr>
              <w:jc w:val="center"/>
              <w:rPr>
                <w:rFonts w:ascii="Arial" w:hAnsi="Arial" w:cs="Arial"/>
                <w:b/>
                <w:bCs/>
                <w:color w:val="000000"/>
                <w:sz w:val="17"/>
                <w:szCs w:val="17"/>
              </w:rPr>
            </w:pPr>
            <w:r w:rsidRPr="00497EEA">
              <w:rPr>
                <w:rFonts w:ascii="Arial" w:hAnsi="Arial" w:cs="Arial"/>
                <w:b/>
                <w:bCs/>
                <w:color w:val="000000"/>
                <w:sz w:val="17"/>
                <w:szCs w:val="17"/>
              </w:rPr>
              <w:t>Monto</w:t>
            </w:r>
          </w:p>
        </w:tc>
      </w:tr>
      <w:tr w:rsidR="006520E3" w:rsidRPr="00D75B01" w:rsidTr="00666FE1">
        <w:trPr>
          <w:trHeight w:val="132"/>
        </w:trPr>
        <w:tc>
          <w:tcPr>
            <w:tcW w:w="3390" w:type="dxa"/>
            <w:tcBorders>
              <w:top w:val="nil"/>
              <w:left w:val="single" w:sz="4" w:space="0" w:color="auto"/>
              <w:bottom w:val="single" w:sz="4" w:space="0" w:color="auto"/>
              <w:right w:val="single" w:sz="4" w:space="0" w:color="auto"/>
            </w:tcBorders>
            <w:shd w:val="clear" w:color="auto" w:fill="auto"/>
            <w:vAlign w:val="center"/>
            <w:hideMark/>
          </w:tcPr>
          <w:p w:rsidR="006520E3" w:rsidRPr="0086615E" w:rsidRDefault="006520E3" w:rsidP="003C66D1">
            <w:pPr>
              <w:rPr>
                <w:rFonts w:ascii="Arial" w:hAnsi="Arial" w:cs="Arial"/>
                <w:b/>
                <w:bCs/>
                <w:color w:val="000000"/>
                <w:sz w:val="17"/>
                <w:szCs w:val="17"/>
              </w:rPr>
            </w:pPr>
            <w:r w:rsidRPr="0086615E">
              <w:rPr>
                <w:rFonts w:ascii="Arial" w:hAnsi="Arial" w:cs="Arial"/>
                <w:b/>
                <w:bCs/>
                <w:color w:val="000000"/>
                <w:sz w:val="17"/>
                <w:szCs w:val="17"/>
              </w:rPr>
              <w:t>Resultado del ejercicio</w:t>
            </w:r>
          </w:p>
        </w:tc>
        <w:tc>
          <w:tcPr>
            <w:tcW w:w="3391" w:type="dxa"/>
            <w:tcBorders>
              <w:top w:val="nil"/>
              <w:left w:val="nil"/>
              <w:bottom w:val="single" w:sz="4" w:space="0" w:color="auto"/>
              <w:right w:val="single" w:sz="4" w:space="0" w:color="auto"/>
            </w:tcBorders>
            <w:shd w:val="clear" w:color="auto" w:fill="auto"/>
            <w:hideMark/>
          </w:tcPr>
          <w:p w:rsidR="006520E3" w:rsidRPr="003B3556" w:rsidRDefault="00EB5063" w:rsidP="003C66D1">
            <w:pPr>
              <w:jc w:val="right"/>
              <w:rPr>
                <w:rFonts w:ascii="Arial" w:hAnsi="Arial" w:cs="Arial"/>
                <w:b/>
                <w:color w:val="000000"/>
                <w:sz w:val="17"/>
                <w:szCs w:val="17"/>
              </w:rPr>
            </w:pPr>
            <w:r w:rsidRPr="00EB5063">
              <w:rPr>
                <w:rFonts w:ascii="Arial" w:hAnsi="Arial" w:cs="Arial"/>
                <w:b/>
                <w:color w:val="000000"/>
                <w:sz w:val="17"/>
                <w:szCs w:val="17"/>
              </w:rPr>
              <w:t>1,560,463,535</w:t>
            </w:r>
          </w:p>
        </w:tc>
      </w:tr>
      <w:tr w:rsidR="006520E3" w:rsidRPr="006A777B" w:rsidTr="00666FE1">
        <w:trPr>
          <w:trHeight w:val="78"/>
        </w:trPr>
        <w:tc>
          <w:tcPr>
            <w:tcW w:w="3390" w:type="dxa"/>
            <w:tcBorders>
              <w:top w:val="nil"/>
              <w:left w:val="single" w:sz="4" w:space="0" w:color="auto"/>
              <w:bottom w:val="single" w:sz="4" w:space="0" w:color="auto"/>
              <w:right w:val="single" w:sz="4" w:space="0" w:color="auto"/>
            </w:tcBorders>
            <w:shd w:val="clear" w:color="auto" w:fill="auto"/>
            <w:vAlign w:val="center"/>
            <w:hideMark/>
          </w:tcPr>
          <w:p w:rsidR="006520E3" w:rsidRPr="0086615E" w:rsidRDefault="006520E3" w:rsidP="003C66D1">
            <w:pPr>
              <w:rPr>
                <w:rFonts w:ascii="Arial" w:hAnsi="Arial" w:cs="Arial"/>
                <w:b/>
                <w:bCs/>
                <w:color w:val="000000"/>
                <w:sz w:val="17"/>
                <w:szCs w:val="17"/>
              </w:rPr>
            </w:pPr>
            <w:r w:rsidRPr="0086615E">
              <w:rPr>
                <w:rFonts w:ascii="Arial" w:hAnsi="Arial" w:cs="Arial"/>
                <w:b/>
                <w:bCs/>
                <w:color w:val="000000"/>
                <w:sz w:val="17"/>
                <w:szCs w:val="17"/>
              </w:rPr>
              <w:t> </w:t>
            </w:r>
          </w:p>
        </w:tc>
        <w:tc>
          <w:tcPr>
            <w:tcW w:w="3391" w:type="dxa"/>
            <w:tcBorders>
              <w:top w:val="nil"/>
              <w:left w:val="nil"/>
              <w:bottom w:val="single" w:sz="4" w:space="0" w:color="auto"/>
              <w:right w:val="single" w:sz="4" w:space="0" w:color="auto"/>
            </w:tcBorders>
            <w:shd w:val="clear" w:color="auto" w:fill="auto"/>
            <w:hideMark/>
          </w:tcPr>
          <w:p w:rsidR="006520E3" w:rsidRPr="003B3556" w:rsidRDefault="006520E3" w:rsidP="003C66D1">
            <w:pPr>
              <w:jc w:val="right"/>
              <w:rPr>
                <w:rFonts w:ascii="Arial" w:hAnsi="Arial" w:cs="Arial"/>
                <w:b/>
                <w:color w:val="000000"/>
                <w:sz w:val="17"/>
                <w:szCs w:val="17"/>
              </w:rPr>
            </w:pPr>
          </w:p>
        </w:tc>
      </w:tr>
      <w:tr w:rsidR="006520E3" w:rsidRPr="006A777B" w:rsidTr="00666FE1">
        <w:trPr>
          <w:trHeight w:val="152"/>
        </w:trPr>
        <w:tc>
          <w:tcPr>
            <w:tcW w:w="3390" w:type="dxa"/>
            <w:tcBorders>
              <w:top w:val="nil"/>
              <w:left w:val="single" w:sz="4" w:space="0" w:color="auto"/>
              <w:bottom w:val="single" w:sz="4" w:space="0" w:color="auto"/>
              <w:right w:val="single" w:sz="4" w:space="0" w:color="auto"/>
            </w:tcBorders>
            <w:shd w:val="clear" w:color="auto" w:fill="auto"/>
            <w:vAlign w:val="center"/>
            <w:hideMark/>
          </w:tcPr>
          <w:p w:rsidR="006520E3" w:rsidRPr="0057017D" w:rsidRDefault="006520E3" w:rsidP="003C66D1">
            <w:pPr>
              <w:rPr>
                <w:rFonts w:ascii="Arial" w:hAnsi="Arial" w:cs="Arial"/>
                <w:b/>
                <w:bCs/>
                <w:color w:val="000000"/>
                <w:sz w:val="17"/>
                <w:szCs w:val="17"/>
              </w:rPr>
            </w:pPr>
            <w:r w:rsidRPr="0057017D">
              <w:rPr>
                <w:rFonts w:ascii="Arial" w:hAnsi="Arial" w:cs="Arial"/>
                <w:b/>
                <w:bCs/>
                <w:color w:val="000000"/>
                <w:sz w:val="17"/>
                <w:szCs w:val="17"/>
              </w:rPr>
              <w:t>Resultados de ejercicios anteriores</w:t>
            </w:r>
          </w:p>
        </w:tc>
        <w:tc>
          <w:tcPr>
            <w:tcW w:w="3391" w:type="dxa"/>
            <w:tcBorders>
              <w:top w:val="nil"/>
              <w:left w:val="nil"/>
              <w:bottom w:val="single" w:sz="4" w:space="0" w:color="auto"/>
              <w:right w:val="single" w:sz="4" w:space="0" w:color="auto"/>
            </w:tcBorders>
            <w:shd w:val="clear" w:color="auto" w:fill="auto"/>
            <w:hideMark/>
          </w:tcPr>
          <w:p w:rsidR="006520E3" w:rsidRPr="003B3556" w:rsidRDefault="006520E3" w:rsidP="003C66D1">
            <w:pPr>
              <w:jc w:val="right"/>
              <w:rPr>
                <w:rFonts w:ascii="Arial" w:hAnsi="Arial" w:cs="Arial"/>
                <w:b/>
                <w:color w:val="000000"/>
                <w:sz w:val="17"/>
                <w:szCs w:val="17"/>
              </w:rPr>
            </w:pPr>
            <w:r w:rsidRPr="003B3556">
              <w:rPr>
                <w:rFonts w:ascii="Arial" w:hAnsi="Arial" w:cs="Arial"/>
                <w:b/>
                <w:color w:val="000000"/>
                <w:sz w:val="17"/>
                <w:szCs w:val="17"/>
              </w:rPr>
              <w:t xml:space="preserve"> 5,942,320,181 </w:t>
            </w:r>
          </w:p>
        </w:tc>
      </w:tr>
      <w:tr w:rsidR="006520E3" w:rsidRPr="006A777B" w:rsidTr="00666FE1">
        <w:trPr>
          <w:trHeight w:val="225"/>
        </w:trPr>
        <w:tc>
          <w:tcPr>
            <w:tcW w:w="3390" w:type="dxa"/>
            <w:tcBorders>
              <w:top w:val="nil"/>
              <w:left w:val="single" w:sz="4" w:space="0" w:color="auto"/>
              <w:bottom w:val="single" w:sz="4" w:space="0" w:color="auto"/>
              <w:right w:val="single" w:sz="4" w:space="0" w:color="auto"/>
            </w:tcBorders>
            <w:shd w:val="clear" w:color="000000" w:fill="FFFFFF"/>
            <w:vAlign w:val="center"/>
          </w:tcPr>
          <w:p w:rsidR="006520E3" w:rsidRPr="005F411A" w:rsidRDefault="006520E3" w:rsidP="003C66D1">
            <w:pPr>
              <w:ind w:left="709"/>
              <w:rPr>
                <w:rFonts w:ascii="Arial" w:hAnsi="Arial" w:cs="Arial"/>
                <w:bCs/>
                <w:color w:val="000000"/>
                <w:sz w:val="17"/>
                <w:szCs w:val="17"/>
              </w:rPr>
            </w:pPr>
            <w:r w:rsidRPr="005F411A">
              <w:rPr>
                <w:rFonts w:ascii="Arial" w:hAnsi="Arial" w:cs="Arial"/>
                <w:bCs/>
                <w:color w:val="000000"/>
                <w:sz w:val="17"/>
                <w:szCs w:val="17"/>
              </w:rPr>
              <w:t>Resultados del Ejercicio (Ahorro / Desahorro) 2018</w:t>
            </w:r>
          </w:p>
        </w:tc>
        <w:tc>
          <w:tcPr>
            <w:tcW w:w="3391" w:type="dxa"/>
            <w:tcBorders>
              <w:top w:val="nil"/>
              <w:left w:val="nil"/>
              <w:bottom w:val="single" w:sz="4" w:space="0" w:color="auto"/>
              <w:right w:val="single" w:sz="4" w:space="0" w:color="auto"/>
            </w:tcBorders>
            <w:shd w:val="clear" w:color="auto" w:fill="auto"/>
          </w:tcPr>
          <w:p w:rsidR="006520E3" w:rsidRPr="003B3556" w:rsidRDefault="006520E3" w:rsidP="003C66D1">
            <w:pPr>
              <w:tabs>
                <w:tab w:val="left" w:pos="2160"/>
                <w:tab w:val="right" w:pos="3251"/>
              </w:tabs>
              <w:jc w:val="right"/>
              <w:rPr>
                <w:rFonts w:ascii="Arial" w:hAnsi="Arial" w:cs="Arial"/>
                <w:color w:val="000000"/>
                <w:sz w:val="17"/>
                <w:szCs w:val="17"/>
              </w:rPr>
            </w:pPr>
            <w:r w:rsidRPr="003B3556">
              <w:rPr>
                <w:rFonts w:ascii="Arial" w:hAnsi="Arial" w:cs="Arial"/>
                <w:color w:val="000000"/>
                <w:sz w:val="17"/>
                <w:szCs w:val="17"/>
              </w:rPr>
              <w:t xml:space="preserve"> </w:t>
            </w:r>
            <w:r w:rsidRPr="00666FE1">
              <w:rPr>
                <w:rFonts w:ascii="Arial" w:hAnsi="Arial" w:cs="Arial"/>
                <w:color w:val="000000"/>
                <w:sz w:val="17"/>
                <w:szCs w:val="17"/>
              </w:rPr>
              <w:t>5,942,320,181</w:t>
            </w:r>
            <w:r w:rsidRPr="003B3556">
              <w:rPr>
                <w:rFonts w:ascii="Arial" w:hAnsi="Arial" w:cs="Arial"/>
                <w:color w:val="000000"/>
                <w:sz w:val="17"/>
                <w:szCs w:val="17"/>
              </w:rPr>
              <w:t xml:space="preserve"> </w:t>
            </w:r>
          </w:p>
        </w:tc>
      </w:tr>
      <w:tr w:rsidR="006520E3" w:rsidRPr="006A777B" w:rsidTr="00666FE1">
        <w:trPr>
          <w:trHeight w:val="52"/>
        </w:trPr>
        <w:tc>
          <w:tcPr>
            <w:tcW w:w="3390" w:type="dxa"/>
            <w:tcBorders>
              <w:top w:val="nil"/>
              <w:left w:val="single" w:sz="4" w:space="0" w:color="auto"/>
              <w:bottom w:val="single" w:sz="4" w:space="0" w:color="auto"/>
              <w:right w:val="single" w:sz="4" w:space="0" w:color="auto"/>
            </w:tcBorders>
            <w:shd w:val="clear" w:color="000000" w:fill="FFFFFF"/>
            <w:vAlign w:val="center"/>
          </w:tcPr>
          <w:p w:rsidR="006520E3" w:rsidRPr="006A777B" w:rsidRDefault="006520E3" w:rsidP="003C66D1">
            <w:pPr>
              <w:rPr>
                <w:rFonts w:ascii="Arial" w:hAnsi="Arial" w:cs="Arial"/>
                <w:b/>
                <w:bCs/>
                <w:color w:val="000000"/>
                <w:sz w:val="17"/>
                <w:szCs w:val="17"/>
                <w:highlight w:val="yellow"/>
              </w:rPr>
            </w:pPr>
          </w:p>
        </w:tc>
        <w:tc>
          <w:tcPr>
            <w:tcW w:w="3391" w:type="dxa"/>
            <w:tcBorders>
              <w:top w:val="nil"/>
              <w:left w:val="nil"/>
              <w:bottom w:val="single" w:sz="4" w:space="0" w:color="auto"/>
              <w:right w:val="single" w:sz="4" w:space="0" w:color="auto"/>
            </w:tcBorders>
            <w:shd w:val="clear" w:color="auto" w:fill="auto"/>
          </w:tcPr>
          <w:p w:rsidR="006520E3" w:rsidRPr="003B3556" w:rsidRDefault="006520E3" w:rsidP="003C66D1">
            <w:pPr>
              <w:jc w:val="right"/>
              <w:rPr>
                <w:rFonts w:ascii="Arial" w:hAnsi="Arial" w:cs="Arial"/>
                <w:color w:val="000000"/>
                <w:sz w:val="17"/>
                <w:szCs w:val="17"/>
              </w:rPr>
            </w:pPr>
          </w:p>
        </w:tc>
      </w:tr>
      <w:tr w:rsidR="006520E3" w:rsidRPr="005178E9" w:rsidTr="00666FE1">
        <w:trPr>
          <w:trHeight w:val="52"/>
        </w:trPr>
        <w:tc>
          <w:tcPr>
            <w:tcW w:w="3390" w:type="dxa"/>
            <w:tcBorders>
              <w:top w:val="nil"/>
              <w:left w:val="single" w:sz="4" w:space="0" w:color="auto"/>
              <w:bottom w:val="single" w:sz="4" w:space="0" w:color="auto"/>
              <w:right w:val="single" w:sz="4" w:space="0" w:color="auto"/>
            </w:tcBorders>
            <w:shd w:val="clear" w:color="000000" w:fill="FFFFFF"/>
            <w:vAlign w:val="center"/>
          </w:tcPr>
          <w:p w:rsidR="006520E3" w:rsidRPr="00FA58B9" w:rsidRDefault="006520E3" w:rsidP="003C66D1">
            <w:pPr>
              <w:rPr>
                <w:rFonts w:ascii="Arial" w:hAnsi="Arial" w:cs="Arial"/>
                <w:b/>
                <w:bCs/>
                <w:color w:val="000000"/>
                <w:sz w:val="17"/>
                <w:szCs w:val="17"/>
              </w:rPr>
            </w:pPr>
            <w:proofErr w:type="spellStart"/>
            <w:r w:rsidRPr="00FA58B9">
              <w:rPr>
                <w:rFonts w:ascii="Arial" w:hAnsi="Arial" w:cs="Arial"/>
                <w:b/>
                <w:bCs/>
                <w:color w:val="000000"/>
                <w:sz w:val="17"/>
                <w:szCs w:val="17"/>
              </w:rPr>
              <w:t>Revalúos</w:t>
            </w:r>
            <w:proofErr w:type="spellEnd"/>
          </w:p>
        </w:tc>
        <w:tc>
          <w:tcPr>
            <w:tcW w:w="3391" w:type="dxa"/>
            <w:tcBorders>
              <w:top w:val="nil"/>
              <w:left w:val="nil"/>
              <w:bottom w:val="single" w:sz="4" w:space="0" w:color="auto"/>
              <w:right w:val="single" w:sz="4" w:space="0" w:color="auto"/>
            </w:tcBorders>
            <w:shd w:val="clear" w:color="auto" w:fill="auto"/>
          </w:tcPr>
          <w:p w:rsidR="006520E3" w:rsidRPr="003B3556" w:rsidRDefault="00137283" w:rsidP="003C66D1">
            <w:pPr>
              <w:jc w:val="right"/>
              <w:rPr>
                <w:rFonts w:ascii="Arial" w:hAnsi="Arial" w:cs="Arial"/>
                <w:b/>
                <w:color w:val="000000"/>
                <w:sz w:val="17"/>
                <w:szCs w:val="17"/>
              </w:rPr>
            </w:pPr>
            <w:r w:rsidRPr="003B3556">
              <w:rPr>
                <w:rFonts w:ascii="Arial" w:hAnsi="Arial" w:cs="Arial"/>
                <w:b/>
                <w:color w:val="000000"/>
                <w:sz w:val="17"/>
                <w:szCs w:val="17"/>
              </w:rPr>
              <w:t>4,890,558,658</w:t>
            </w:r>
            <w:r w:rsidR="006520E3" w:rsidRPr="003B3556">
              <w:rPr>
                <w:rFonts w:ascii="Arial" w:hAnsi="Arial" w:cs="Arial"/>
                <w:b/>
                <w:color w:val="000000"/>
                <w:sz w:val="17"/>
                <w:szCs w:val="17"/>
              </w:rPr>
              <w:t xml:space="preserve"> </w:t>
            </w:r>
          </w:p>
        </w:tc>
      </w:tr>
      <w:tr w:rsidR="006520E3" w:rsidRPr="00D75B01" w:rsidTr="00666FE1">
        <w:trPr>
          <w:trHeight w:val="52"/>
        </w:trPr>
        <w:tc>
          <w:tcPr>
            <w:tcW w:w="3390" w:type="dxa"/>
            <w:tcBorders>
              <w:top w:val="nil"/>
              <w:left w:val="single" w:sz="4" w:space="0" w:color="auto"/>
              <w:bottom w:val="single" w:sz="4" w:space="0" w:color="auto"/>
              <w:right w:val="single" w:sz="4" w:space="0" w:color="auto"/>
            </w:tcBorders>
            <w:shd w:val="clear" w:color="000000" w:fill="FFFFFF"/>
            <w:vAlign w:val="center"/>
          </w:tcPr>
          <w:p w:rsidR="006520E3" w:rsidRPr="00FA58B9" w:rsidRDefault="006520E3" w:rsidP="003C66D1">
            <w:pPr>
              <w:rPr>
                <w:rFonts w:ascii="Arial" w:hAnsi="Arial" w:cs="Arial"/>
                <w:bCs/>
                <w:color w:val="000000"/>
                <w:sz w:val="17"/>
                <w:szCs w:val="17"/>
              </w:rPr>
            </w:pPr>
            <w:r w:rsidRPr="00FA58B9">
              <w:rPr>
                <w:rFonts w:ascii="Arial" w:hAnsi="Arial" w:cs="Arial"/>
                <w:bCs/>
                <w:color w:val="000000"/>
                <w:sz w:val="17"/>
                <w:szCs w:val="17"/>
              </w:rPr>
              <w:t xml:space="preserve">               Revalúo de Bienes Inmuebles</w:t>
            </w:r>
          </w:p>
        </w:tc>
        <w:tc>
          <w:tcPr>
            <w:tcW w:w="3391" w:type="dxa"/>
            <w:tcBorders>
              <w:top w:val="nil"/>
              <w:left w:val="nil"/>
              <w:bottom w:val="single" w:sz="4" w:space="0" w:color="auto"/>
              <w:right w:val="single" w:sz="4" w:space="0" w:color="auto"/>
            </w:tcBorders>
            <w:shd w:val="clear" w:color="auto" w:fill="auto"/>
          </w:tcPr>
          <w:p w:rsidR="006520E3" w:rsidRPr="003B3556" w:rsidRDefault="00137283" w:rsidP="003C66D1">
            <w:pPr>
              <w:jc w:val="right"/>
              <w:rPr>
                <w:rFonts w:ascii="Arial" w:hAnsi="Arial" w:cs="Arial"/>
                <w:color w:val="000000"/>
                <w:sz w:val="17"/>
                <w:szCs w:val="17"/>
              </w:rPr>
            </w:pPr>
            <w:r w:rsidRPr="003B3556">
              <w:rPr>
                <w:rFonts w:ascii="Arial" w:hAnsi="Arial" w:cs="Arial"/>
                <w:color w:val="000000"/>
                <w:sz w:val="17"/>
                <w:szCs w:val="17"/>
              </w:rPr>
              <w:t xml:space="preserve"> 4,890,558,658</w:t>
            </w:r>
            <w:r w:rsidR="006520E3" w:rsidRPr="003B3556">
              <w:rPr>
                <w:rFonts w:ascii="Arial" w:hAnsi="Arial" w:cs="Arial"/>
                <w:color w:val="000000"/>
                <w:sz w:val="17"/>
                <w:szCs w:val="17"/>
              </w:rPr>
              <w:t xml:space="preserve"> </w:t>
            </w:r>
          </w:p>
        </w:tc>
      </w:tr>
      <w:tr w:rsidR="006520E3" w:rsidRPr="00FA58B9" w:rsidTr="00666FE1">
        <w:trPr>
          <w:trHeight w:val="52"/>
        </w:trPr>
        <w:tc>
          <w:tcPr>
            <w:tcW w:w="3390" w:type="dxa"/>
            <w:tcBorders>
              <w:top w:val="nil"/>
              <w:left w:val="single" w:sz="4" w:space="0" w:color="auto"/>
              <w:bottom w:val="single" w:sz="4" w:space="0" w:color="auto"/>
              <w:right w:val="single" w:sz="4" w:space="0" w:color="auto"/>
            </w:tcBorders>
            <w:shd w:val="clear" w:color="000000" w:fill="FFFFFF"/>
            <w:vAlign w:val="center"/>
          </w:tcPr>
          <w:p w:rsidR="006520E3" w:rsidRPr="00FA58B9" w:rsidRDefault="006520E3" w:rsidP="003C66D1">
            <w:pPr>
              <w:rPr>
                <w:rFonts w:ascii="Arial" w:hAnsi="Arial" w:cs="Arial"/>
                <w:bCs/>
                <w:color w:val="000000"/>
                <w:sz w:val="17"/>
                <w:szCs w:val="17"/>
              </w:rPr>
            </w:pPr>
          </w:p>
        </w:tc>
        <w:tc>
          <w:tcPr>
            <w:tcW w:w="3391" w:type="dxa"/>
            <w:tcBorders>
              <w:top w:val="nil"/>
              <w:left w:val="nil"/>
              <w:bottom w:val="single" w:sz="4" w:space="0" w:color="auto"/>
              <w:right w:val="single" w:sz="4" w:space="0" w:color="auto"/>
            </w:tcBorders>
            <w:shd w:val="clear" w:color="auto" w:fill="auto"/>
          </w:tcPr>
          <w:p w:rsidR="006520E3" w:rsidRPr="003B3556" w:rsidRDefault="006520E3" w:rsidP="003C66D1">
            <w:pPr>
              <w:jc w:val="right"/>
              <w:rPr>
                <w:rFonts w:ascii="Arial" w:hAnsi="Arial" w:cs="Arial"/>
                <w:color w:val="000000"/>
                <w:sz w:val="17"/>
                <w:szCs w:val="17"/>
              </w:rPr>
            </w:pPr>
          </w:p>
        </w:tc>
      </w:tr>
      <w:tr w:rsidR="006520E3" w:rsidRPr="00FA58B9" w:rsidTr="00666FE1">
        <w:trPr>
          <w:trHeight w:val="320"/>
        </w:trPr>
        <w:tc>
          <w:tcPr>
            <w:tcW w:w="3390" w:type="dxa"/>
            <w:tcBorders>
              <w:top w:val="nil"/>
              <w:left w:val="single" w:sz="4" w:space="0" w:color="auto"/>
              <w:bottom w:val="single" w:sz="4" w:space="0" w:color="auto"/>
              <w:right w:val="single" w:sz="4" w:space="0" w:color="auto"/>
            </w:tcBorders>
            <w:shd w:val="clear" w:color="000000" w:fill="FFFFFF"/>
            <w:vAlign w:val="center"/>
            <w:hideMark/>
          </w:tcPr>
          <w:p w:rsidR="006520E3" w:rsidRPr="00FA58B9" w:rsidRDefault="006520E3" w:rsidP="003C66D1">
            <w:pPr>
              <w:rPr>
                <w:rFonts w:ascii="Arial" w:hAnsi="Arial" w:cs="Arial"/>
                <w:b/>
                <w:bCs/>
                <w:color w:val="000000"/>
                <w:sz w:val="17"/>
                <w:szCs w:val="17"/>
              </w:rPr>
            </w:pPr>
            <w:r w:rsidRPr="00FA58B9">
              <w:rPr>
                <w:rFonts w:ascii="Arial" w:hAnsi="Arial" w:cs="Arial"/>
                <w:b/>
                <w:bCs/>
                <w:color w:val="000000"/>
                <w:sz w:val="17"/>
                <w:szCs w:val="17"/>
              </w:rPr>
              <w:t>Rectificaciones de resultados de ejercicios anteriores</w:t>
            </w:r>
          </w:p>
        </w:tc>
        <w:tc>
          <w:tcPr>
            <w:tcW w:w="3391" w:type="dxa"/>
            <w:tcBorders>
              <w:top w:val="nil"/>
              <w:left w:val="nil"/>
              <w:bottom w:val="single" w:sz="4" w:space="0" w:color="auto"/>
              <w:right w:val="single" w:sz="4" w:space="0" w:color="auto"/>
            </w:tcBorders>
            <w:shd w:val="clear" w:color="auto" w:fill="auto"/>
            <w:hideMark/>
          </w:tcPr>
          <w:p w:rsidR="006520E3" w:rsidRPr="00666FE1" w:rsidRDefault="00EB5063" w:rsidP="003C66D1">
            <w:pPr>
              <w:jc w:val="right"/>
              <w:rPr>
                <w:rFonts w:ascii="Arial" w:hAnsi="Arial" w:cs="Arial"/>
                <w:b/>
                <w:color w:val="000000"/>
                <w:sz w:val="17"/>
                <w:szCs w:val="17"/>
                <w:highlight w:val="yellow"/>
              </w:rPr>
            </w:pPr>
            <w:r w:rsidRPr="00EB5063">
              <w:rPr>
                <w:rFonts w:ascii="Arial" w:hAnsi="Arial" w:cs="Arial"/>
                <w:b/>
                <w:color w:val="000000"/>
                <w:sz w:val="17"/>
                <w:szCs w:val="17"/>
              </w:rPr>
              <w:t>-658,026,127</w:t>
            </w:r>
          </w:p>
        </w:tc>
      </w:tr>
      <w:tr w:rsidR="006520E3" w:rsidRPr="00584BCA" w:rsidTr="00666FE1">
        <w:trPr>
          <w:trHeight w:val="52"/>
        </w:trPr>
        <w:tc>
          <w:tcPr>
            <w:tcW w:w="3390" w:type="dxa"/>
            <w:tcBorders>
              <w:top w:val="nil"/>
              <w:left w:val="single" w:sz="4" w:space="0" w:color="auto"/>
              <w:bottom w:val="nil"/>
              <w:right w:val="single" w:sz="4" w:space="0" w:color="auto"/>
            </w:tcBorders>
            <w:shd w:val="clear" w:color="000000" w:fill="FFFFFF"/>
            <w:vAlign w:val="center"/>
          </w:tcPr>
          <w:p w:rsidR="006520E3" w:rsidRPr="00FA58B9" w:rsidRDefault="006520E3" w:rsidP="003C66D1">
            <w:pPr>
              <w:ind w:firstLineChars="100" w:firstLine="170"/>
              <w:rPr>
                <w:rFonts w:ascii="Arial" w:hAnsi="Arial" w:cs="Arial"/>
                <w:color w:val="000000"/>
                <w:sz w:val="17"/>
                <w:szCs w:val="17"/>
              </w:rPr>
            </w:pPr>
            <w:r w:rsidRPr="00FA58B9">
              <w:rPr>
                <w:rFonts w:ascii="Arial" w:hAnsi="Arial" w:cs="Arial"/>
                <w:color w:val="000000"/>
                <w:sz w:val="17"/>
                <w:szCs w:val="17"/>
              </w:rPr>
              <w:t>Movimientos del periodo</w:t>
            </w:r>
          </w:p>
        </w:tc>
        <w:tc>
          <w:tcPr>
            <w:tcW w:w="3391" w:type="dxa"/>
            <w:tcBorders>
              <w:top w:val="nil"/>
              <w:left w:val="nil"/>
              <w:bottom w:val="nil"/>
              <w:right w:val="single" w:sz="4" w:space="0" w:color="auto"/>
            </w:tcBorders>
            <w:shd w:val="clear" w:color="auto" w:fill="auto"/>
          </w:tcPr>
          <w:p w:rsidR="006520E3" w:rsidRPr="00666FE1" w:rsidRDefault="00EB5063" w:rsidP="003C66D1">
            <w:pPr>
              <w:jc w:val="right"/>
              <w:rPr>
                <w:rFonts w:ascii="Arial" w:hAnsi="Arial" w:cs="Arial"/>
                <w:color w:val="000000"/>
                <w:sz w:val="17"/>
                <w:szCs w:val="17"/>
                <w:highlight w:val="yellow"/>
              </w:rPr>
            </w:pPr>
            <w:r w:rsidRPr="00EB5063">
              <w:rPr>
                <w:rFonts w:ascii="Arial" w:hAnsi="Arial" w:cs="Arial"/>
                <w:color w:val="000000"/>
                <w:sz w:val="17"/>
                <w:szCs w:val="17"/>
              </w:rPr>
              <w:t>-658,026,127</w:t>
            </w:r>
          </w:p>
        </w:tc>
      </w:tr>
      <w:tr w:rsidR="006520E3" w:rsidRPr="00FA58B9" w:rsidTr="00666FE1">
        <w:trPr>
          <w:trHeight w:val="52"/>
        </w:trPr>
        <w:tc>
          <w:tcPr>
            <w:tcW w:w="3390" w:type="dxa"/>
            <w:tcBorders>
              <w:top w:val="nil"/>
              <w:left w:val="single" w:sz="4" w:space="0" w:color="auto"/>
              <w:bottom w:val="single" w:sz="4" w:space="0" w:color="auto"/>
              <w:right w:val="single" w:sz="4" w:space="0" w:color="auto"/>
            </w:tcBorders>
            <w:shd w:val="clear" w:color="000000" w:fill="FFFFFF"/>
            <w:vAlign w:val="center"/>
          </w:tcPr>
          <w:p w:rsidR="006520E3" w:rsidRPr="00FA58B9" w:rsidRDefault="006520E3" w:rsidP="003C66D1">
            <w:pPr>
              <w:ind w:firstLineChars="100" w:firstLine="170"/>
              <w:rPr>
                <w:rFonts w:ascii="Arial" w:hAnsi="Arial" w:cs="Arial"/>
                <w:color w:val="000000"/>
                <w:sz w:val="17"/>
                <w:szCs w:val="17"/>
              </w:rPr>
            </w:pPr>
          </w:p>
        </w:tc>
        <w:tc>
          <w:tcPr>
            <w:tcW w:w="3391" w:type="dxa"/>
            <w:tcBorders>
              <w:top w:val="nil"/>
              <w:left w:val="nil"/>
              <w:bottom w:val="single" w:sz="4" w:space="0" w:color="auto"/>
              <w:right w:val="single" w:sz="4" w:space="0" w:color="auto"/>
            </w:tcBorders>
            <w:shd w:val="clear" w:color="auto" w:fill="auto"/>
          </w:tcPr>
          <w:p w:rsidR="006520E3" w:rsidRPr="00941BEA" w:rsidRDefault="006520E3" w:rsidP="003C66D1">
            <w:pPr>
              <w:jc w:val="right"/>
              <w:rPr>
                <w:rFonts w:ascii="Arial" w:hAnsi="Arial" w:cs="Arial"/>
                <w:color w:val="000000"/>
                <w:sz w:val="17"/>
                <w:szCs w:val="17"/>
                <w:highlight w:val="yellow"/>
              </w:rPr>
            </w:pPr>
          </w:p>
        </w:tc>
      </w:tr>
    </w:tbl>
    <w:p w:rsidR="006520E3" w:rsidRPr="006A777B" w:rsidRDefault="003C66D1" w:rsidP="006520E3">
      <w:pPr>
        <w:ind w:left="709"/>
        <w:jc w:val="both"/>
        <w:rPr>
          <w:rFonts w:ascii="Arial" w:eastAsia="Calibri" w:hAnsi="Arial" w:cs="Arial"/>
          <w:spacing w:val="-1"/>
          <w:sz w:val="17"/>
          <w:szCs w:val="17"/>
          <w:highlight w:val="yellow"/>
        </w:rPr>
      </w:pPr>
      <w:r>
        <w:rPr>
          <w:rFonts w:ascii="Arial" w:eastAsia="Calibri" w:hAnsi="Arial" w:cs="Arial"/>
          <w:spacing w:val="-1"/>
          <w:sz w:val="17"/>
          <w:szCs w:val="17"/>
          <w:highlight w:val="yellow"/>
        </w:rPr>
        <w:br w:type="textWrapping" w:clear="all"/>
      </w:r>
    </w:p>
    <w:p w:rsidR="006520E3" w:rsidRPr="00815896" w:rsidRDefault="006520E3" w:rsidP="006520E3">
      <w:pPr>
        <w:pStyle w:val="Prrafodelista"/>
        <w:ind w:left="709"/>
        <w:jc w:val="both"/>
        <w:rPr>
          <w:rFonts w:ascii="Arial" w:eastAsia="Calibri" w:hAnsi="Arial" w:cs="Arial"/>
          <w:spacing w:val="-1"/>
          <w:sz w:val="17"/>
          <w:szCs w:val="17"/>
          <w:highlight w:val="yellow"/>
        </w:rPr>
      </w:pPr>
    </w:p>
    <w:p w:rsidR="000E33E4" w:rsidRPr="000E33E4" w:rsidRDefault="000E33E4" w:rsidP="000E33E4">
      <w:pPr>
        <w:spacing w:before="80" w:line="250" w:lineRule="exact"/>
        <w:ind w:left="709"/>
        <w:jc w:val="both"/>
        <w:rPr>
          <w:rFonts w:ascii="Arial" w:hAnsi="Arial" w:cs="Arial"/>
          <w:sz w:val="17"/>
          <w:szCs w:val="17"/>
        </w:rPr>
      </w:pPr>
      <w:r w:rsidRPr="000E33E4">
        <w:rPr>
          <w:rFonts w:ascii="Arial" w:hAnsi="Arial" w:cs="Arial"/>
          <w:sz w:val="17"/>
          <w:szCs w:val="17"/>
        </w:rPr>
        <w:t xml:space="preserve">El incremento dentro del rubro de </w:t>
      </w:r>
      <w:proofErr w:type="spellStart"/>
      <w:r w:rsidRPr="000E33E4">
        <w:rPr>
          <w:rFonts w:ascii="Arial" w:hAnsi="Arial" w:cs="Arial"/>
          <w:sz w:val="17"/>
          <w:szCs w:val="17"/>
        </w:rPr>
        <w:t>Revalúos</w:t>
      </w:r>
      <w:proofErr w:type="spellEnd"/>
      <w:r w:rsidRPr="000E33E4">
        <w:rPr>
          <w:rFonts w:ascii="Arial" w:hAnsi="Arial" w:cs="Arial"/>
          <w:sz w:val="17"/>
          <w:szCs w:val="17"/>
        </w:rPr>
        <w:t xml:space="preserve"> obedece a la actualización del valor catastral de 1,245 inmuebles.</w:t>
      </w:r>
    </w:p>
    <w:p w:rsidR="000E33E4" w:rsidRPr="000E33E4" w:rsidRDefault="000E33E4" w:rsidP="000E33E4">
      <w:pPr>
        <w:spacing w:before="80" w:line="250" w:lineRule="exact"/>
        <w:ind w:left="709"/>
        <w:jc w:val="both"/>
        <w:rPr>
          <w:rFonts w:ascii="Arial" w:hAnsi="Arial" w:cs="Arial"/>
          <w:sz w:val="17"/>
          <w:szCs w:val="17"/>
        </w:rPr>
      </w:pPr>
    </w:p>
    <w:p w:rsidR="006520E3" w:rsidRDefault="000E33E4" w:rsidP="00520DEE">
      <w:pPr>
        <w:spacing w:before="80" w:line="250" w:lineRule="exact"/>
        <w:ind w:left="709"/>
        <w:jc w:val="both"/>
        <w:rPr>
          <w:rFonts w:ascii="Arial" w:hAnsi="Arial" w:cs="Arial"/>
          <w:b/>
          <w:sz w:val="17"/>
          <w:szCs w:val="17"/>
        </w:rPr>
      </w:pPr>
      <w:r w:rsidRPr="000E33E4">
        <w:rPr>
          <w:rFonts w:ascii="Arial" w:hAnsi="Arial" w:cs="Arial"/>
          <w:sz w:val="17"/>
          <w:szCs w:val="17"/>
        </w:rPr>
        <w:t xml:space="preserve">Sobre el rubro de Rectificación de Resultados de Ejercicios Anteriores, el saldo que se presenta es originado principalmente por la depuración de Obras en Proceso, los reintegros realizados a la Tesorería de la Federación de Recursos Federales que no fueron vinculados a compromisos formales de pago del ejercicio anterior, </w:t>
      </w:r>
      <w:r w:rsidR="00666FE1">
        <w:rPr>
          <w:rFonts w:ascii="Arial" w:hAnsi="Arial" w:cs="Arial"/>
          <w:sz w:val="17"/>
          <w:szCs w:val="17"/>
        </w:rPr>
        <w:t xml:space="preserve">así como a </w:t>
      </w:r>
      <w:r w:rsidRPr="000E33E4">
        <w:rPr>
          <w:rFonts w:ascii="Arial" w:hAnsi="Arial" w:cs="Arial"/>
          <w:sz w:val="17"/>
          <w:szCs w:val="17"/>
        </w:rPr>
        <w:t>devoluciones de in</w:t>
      </w:r>
      <w:r w:rsidR="003C66D1">
        <w:rPr>
          <w:rFonts w:ascii="Arial" w:hAnsi="Arial" w:cs="Arial"/>
          <w:sz w:val="17"/>
          <w:szCs w:val="17"/>
        </w:rPr>
        <w:t xml:space="preserve">gresos de ejercicios anteriores. </w:t>
      </w:r>
      <w:r w:rsidR="00FC56A8">
        <w:rPr>
          <w:rFonts w:ascii="Arial" w:hAnsi="Arial" w:cs="Arial"/>
          <w:sz w:val="17"/>
          <w:szCs w:val="17"/>
        </w:rPr>
        <w:t xml:space="preserve">Adicionalmente, se tiene </w:t>
      </w:r>
      <w:r w:rsidR="00FC56A8" w:rsidRPr="00FC56A8">
        <w:rPr>
          <w:rFonts w:ascii="Arial" w:hAnsi="Arial" w:cs="Arial"/>
          <w:sz w:val="17"/>
          <w:szCs w:val="17"/>
        </w:rPr>
        <w:t xml:space="preserve">el </w:t>
      </w:r>
      <w:r w:rsidR="00292AEC" w:rsidRPr="00FC56A8">
        <w:rPr>
          <w:rFonts w:ascii="Arial" w:hAnsi="Arial" w:cs="Arial"/>
          <w:sz w:val="17"/>
          <w:szCs w:val="17"/>
        </w:rPr>
        <w:t xml:space="preserve">registro de la Participación </w:t>
      </w:r>
      <w:r w:rsidR="00520DEE" w:rsidRPr="00FC56A8">
        <w:rPr>
          <w:rFonts w:ascii="Arial" w:hAnsi="Arial" w:cs="Arial"/>
          <w:sz w:val="17"/>
          <w:szCs w:val="17"/>
        </w:rPr>
        <w:t xml:space="preserve">al 31 de </w:t>
      </w:r>
      <w:r w:rsidR="0050443D">
        <w:rPr>
          <w:rFonts w:ascii="Arial" w:hAnsi="Arial" w:cs="Arial"/>
          <w:sz w:val="17"/>
          <w:szCs w:val="17"/>
        </w:rPr>
        <w:t>Diciembre</w:t>
      </w:r>
      <w:r w:rsidR="00520DEE" w:rsidRPr="00FC56A8">
        <w:rPr>
          <w:rFonts w:ascii="Arial" w:hAnsi="Arial" w:cs="Arial"/>
          <w:sz w:val="17"/>
          <w:szCs w:val="17"/>
        </w:rPr>
        <w:t xml:space="preserve"> de</w:t>
      </w:r>
      <w:r w:rsidR="00292AEC" w:rsidRPr="00FC56A8">
        <w:rPr>
          <w:rFonts w:ascii="Arial" w:hAnsi="Arial" w:cs="Arial"/>
          <w:sz w:val="17"/>
          <w:szCs w:val="17"/>
        </w:rPr>
        <w:t xml:space="preserve"> 2018 en la Hacienda Pública de la Universidad Autóno</w:t>
      </w:r>
      <w:r w:rsidR="00520DEE" w:rsidRPr="00FC56A8">
        <w:rPr>
          <w:rFonts w:ascii="Arial" w:hAnsi="Arial" w:cs="Arial"/>
          <w:sz w:val="17"/>
          <w:szCs w:val="17"/>
        </w:rPr>
        <w:t>ma de Querétaro por 243</w:t>
      </w:r>
      <w:proofErr w:type="gramStart"/>
      <w:r w:rsidR="00520DEE" w:rsidRPr="00FC56A8">
        <w:rPr>
          <w:rFonts w:ascii="Arial" w:hAnsi="Arial" w:cs="Arial"/>
          <w:sz w:val="17"/>
          <w:szCs w:val="17"/>
        </w:rPr>
        <w:t>,915,816</w:t>
      </w:r>
      <w:proofErr w:type="gramEnd"/>
      <w:r w:rsidR="00520DEE" w:rsidRPr="00FC56A8">
        <w:rPr>
          <w:rFonts w:ascii="Arial" w:hAnsi="Arial" w:cs="Arial"/>
          <w:sz w:val="17"/>
          <w:szCs w:val="17"/>
        </w:rPr>
        <w:t xml:space="preserve"> de conformidad con el artículo</w:t>
      </w:r>
      <w:r w:rsidR="00520DEE" w:rsidRPr="00520DEE">
        <w:rPr>
          <w:rFonts w:ascii="Arial" w:hAnsi="Arial" w:cs="Arial"/>
          <w:sz w:val="17"/>
          <w:szCs w:val="17"/>
        </w:rPr>
        <w:t xml:space="preserve"> 32 de la Ley General de Contabilidad Gubernamental. (LGCG).</w:t>
      </w:r>
    </w:p>
    <w:p w:rsidR="006520E3" w:rsidRDefault="006520E3" w:rsidP="006520E3">
      <w:pPr>
        <w:autoSpaceDE w:val="0"/>
        <w:autoSpaceDN w:val="0"/>
        <w:adjustRightInd w:val="0"/>
        <w:spacing w:before="240" w:after="120"/>
        <w:jc w:val="both"/>
        <w:rPr>
          <w:rFonts w:ascii="Arial" w:hAnsi="Arial" w:cs="Arial"/>
          <w:b/>
          <w:sz w:val="17"/>
          <w:szCs w:val="17"/>
        </w:rPr>
      </w:pPr>
    </w:p>
    <w:p w:rsidR="006520E3" w:rsidRDefault="006520E3" w:rsidP="006520E3">
      <w:pPr>
        <w:autoSpaceDE w:val="0"/>
        <w:autoSpaceDN w:val="0"/>
        <w:adjustRightInd w:val="0"/>
        <w:spacing w:before="240" w:after="120"/>
        <w:ind w:left="360"/>
        <w:jc w:val="both"/>
        <w:rPr>
          <w:rFonts w:ascii="Arial" w:hAnsi="Arial" w:cs="Arial"/>
          <w:b/>
          <w:sz w:val="17"/>
          <w:szCs w:val="17"/>
        </w:rPr>
      </w:pPr>
    </w:p>
    <w:p w:rsidR="006520E3" w:rsidRDefault="006520E3" w:rsidP="006520E3">
      <w:pPr>
        <w:autoSpaceDE w:val="0"/>
        <w:autoSpaceDN w:val="0"/>
        <w:adjustRightInd w:val="0"/>
        <w:spacing w:before="240" w:after="120"/>
        <w:ind w:left="360"/>
        <w:jc w:val="both"/>
        <w:rPr>
          <w:rFonts w:ascii="Arial" w:hAnsi="Arial" w:cs="Arial"/>
          <w:b/>
          <w:sz w:val="17"/>
          <w:szCs w:val="17"/>
        </w:rPr>
      </w:pPr>
    </w:p>
    <w:p w:rsidR="006520E3" w:rsidRDefault="006520E3" w:rsidP="006520E3">
      <w:pPr>
        <w:autoSpaceDE w:val="0"/>
        <w:autoSpaceDN w:val="0"/>
        <w:adjustRightInd w:val="0"/>
        <w:spacing w:before="240" w:after="120"/>
        <w:ind w:left="360"/>
        <w:jc w:val="both"/>
        <w:rPr>
          <w:rFonts w:ascii="Arial" w:hAnsi="Arial" w:cs="Arial"/>
          <w:b/>
          <w:sz w:val="17"/>
          <w:szCs w:val="17"/>
        </w:rPr>
      </w:pPr>
    </w:p>
    <w:p w:rsidR="006520E3" w:rsidRDefault="006520E3" w:rsidP="006520E3">
      <w:pPr>
        <w:autoSpaceDE w:val="0"/>
        <w:autoSpaceDN w:val="0"/>
        <w:adjustRightInd w:val="0"/>
        <w:spacing w:before="240" w:after="120"/>
        <w:ind w:left="360"/>
        <w:jc w:val="both"/>
        <w:rPr>
          <w:rFonts w:ascii="Arial" w:hAnsi="Arial" w:cs="Arial"/>
          <w:b/>
          <w:sz w:val="17"/>
          <w:szCs w:val="17"/>
        </w:rPr>
      </w:pPr>
    </w:p>
    <w:p w:rsidR="006520E3" w:rsidRDefault="006520E3" w:rsidP="006520E3">
      <w:pPr>
        <w:autoSpaceDE w:val="0"/>
        <w:autoSpaceDN w:val="0"/>
        <w:adjustRightInd w:val="0"/>
        <w:spacing w:before="240" w:after="120"/>
        <w:jc w:val="both"/>
        <w:rPr>
          <w:rFonts w:ascii="Arial" w:hAnsi="Arial" w:cs="Arial"/>
          <w:b/>
          <w:sz w:val="17"/>
          <w:szCs w:val="17"/>
        </w:rPr>
      </w:pPr>
    </w:p>
    <w:p w:rsidR="006520E3" w:rsidRDefault="006520E3" w:rsidP="006520E3">
      <w:pPr>
        <w:autoSpaceDE w:val="0"/>
        <w:autoSpaceDN w:val="0"/>
        <w:adjustRightInd w:val="0"/>
        <w:spacing w:before="240" w:after="120"/>
        <w:jc w:val="both"/>
        <w:rPr>
          <w:rFonts w:ascii="Arial" w:hAnsi="Arial" w:cs="Arial"/>
          <w:b/>
          <w:sz w:val="17"/>
          <w:szCs w:val="17"/>
        </w:rPr>
      </w:pPr>
    </w:p>
    <w:p w:rsidR="003A7AEE" w:rsidRDefault="003A7AEE" w:rsidP="006520E3">
      <w:pPr>
        <w:autoSpaceDE w:val="0"/>
        <w:autoSpaceDN w:val="0"/>
        <w:adjustRightInd w:val="0"/>
        <w:spacing w:before="240" w:after="120"/>
        <w:jc w:val="both"/>
        <w:rPr>
          <w:rFonts w:ascii="Arial" w:hAnsi="Arial" w:cs="Arial"/>
          <w:b/>
          <w:sz w:val="17"/>
          <w:szCs w:val="17"/>
        </w:rPr>
      </w:pPr>
    </w:p>
    <w:p w:rsidR="006520E3" w:rsidRDefault="006520E3" w:rsidP="00292AEC">
      <w:pPr>
        <w:autoSpaceDE w:val="0"/>
        <w:autoSpaceDN w:val="0"/>
        <w:adjustRightInd w:val="0"/>
        <w:spacing w:before="240" w:after="120"/>
        <w:jc w:val="both"/>
        <w:rPr>
          <w:rFonts w:ascii="Arial" w:hAnsi="Arial" w:cs="Arial"/>
          <w:b/>
          <w:sz w:val="17"/>
          <w:szCs w:val="17"/>
        </w:rPr>
      </w:pPr>
    </w:p>
    <w:p w:rsidR="006520E3" w:rsidRPr="00191FF1" w:rsidRDefault="006520E3" w:rsidP="006520E3">
      <w:pPr>
        <w:autoSpaceDE w:val="0"/>
        <w:autoSpaceDN w:val="0"/>
        <w:adjustRightInd w:val="0"/>
        <w:spacing w:before="240" w:after="120"/>
        <w:ind w:left="360"/>
        <w:jc w:val="both"/>
        <w:rPr>
          <w:rFonts w:ascii="Arial" w:hAnsi="Arial" w:cs="Arial"/>
          <w:b/>
          <w:sz w:val="17"/>
          <w:szCs w:val="17"/>
        </w:rPr>
      </w:pPr>
      <w:r w:rsidRPr="00191FF1">
        <w:rPr>
          <w:rFonts w:ascii="Arial" w:hAnsi="Arial" w:cs="Arial"/>
          <w:b/>
          <w:sz w:val="17"/>
          <w:szCs w:val="17"/>
        </w:rPr>
        <w:lastRenderedPageBreak/>
        <w:t>Notas al Estado de Flujos de Efectivo</w:t>
      </w:r>
    </w:p>
    <w:p w:rsidR="006520E3" w:rsidRPr="001012CE" w:rsidRDefault="006520E3" w:rsidP="006520E3">
      <w:pPr>
        <w:pStyle w:val="Prrafodelista"/>
        <w:autoSpaceDE w:val="0"/>
        <w:autoSpaceDN w:val="0"/>
        <w:adjustRightInd w:val="0"/>
        <w:spacing w:before="240" w:after="120"/>
        <w:ind w:left="1080"/>
        <w:jc w:val="both"/>
        <w:rPr>
          <w:rFonts w:ascii="Arial" w:hAnsi="Arial" w:cs="Arial"/>
          <w:b/>
          <w:sz w:val="17"/>
          <w:szCs w:val="17"/>
        </w:rPr>
      </w:pPr>
    </w:p>
    <w:p w:rsidR="006520E3" w:rsidRPr="001012CE" w:rsidRDefault="006520E3" w:rsidP="006520E3">
      <w:pPr>
        <w:pStyle w:val="Prrafodelista"/>
        <w:numPr>
          <w:ilvl w:val="0"/>
          <w:numId w:val="8"/>
        </w:numPr>
        <w:autoSpaceDE w:val="0"/>
        <w:autoSpaceDN w:val="0"/>
        <w:adjustRightInd w:val="0"/>
        <w:spacing w:before="240" w:after="120"/>
        <w:jc w:val="both"/>
        <w:rPr>
          <w:rFonts w:ascii="Arial" w:hAnsi="Arial" w:cs="Arial"/>
          <w:b/>
          <w:sz w:val="17"/>
          <w:szCs w:val="17"/>
        </w:rPr>
      </w:pPr>
      <w:r w:rsidRPr="001012CE">
        <w:rPr>
          <w:rFonts w:ascii="Arial" w:hAnsi="Arial" w:cs="Arial"/>
          <w:b/>
          <w:sz w:val="17"/>
          <w:szCs w:val="17"/>
        </w:rPr>
        <w:t>Efectivo y equivalentes</w:t>
      </w:r>
    </w:p>
    <w:p w:rsidR="006520E3" w:rsidRPr="001012CE" w:rsidRDefault="006520E3" w:rsidP="006520E3">
      <w:pPr>
        <w:spacing w:before="80" w:line="250" w:lineRule="exact"/>
        <w:ind w:left="709"/>
        <w:jc w:val="both"/>
        <w:rPr>
          <w:rFonts w:ascii="Arial" w:eastAsia="Calibri" w:hAnsi="Arial" w:cs="Arial"/>
          <w:spacing w:val="-1"/>
          <w:sz w:val="17"/>
          <w:szCs w:val="17"/>
        </w:rPr>
      </w:pPr>
      <w:r w:rsidRPr="001012CE">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rsidR="006520E3" w:rsidRPr="001012CE" w:rsidRDefault="006520E3" w:rsidP="006520E3">
      <w:pPr>
        <w:autoSpaceDE w:val="0"/>
        <w:autoSpaceDN w:val="0"/>
        <w:adjustRightInd w:val="0"/>
        <w:spacing w:before="240" w:after="120"/>
        <w:jc w:val="center"/>
        <w:rPr>
          <w:rFonts w:ascii="Arial" w:eastAsia="Calibri" w:hAnsi="Arial" w:cs="Arial"/>
          <w:b/>
          <w:spacing w:val="-1"/>
          <w:sz w:val="17"/>
          <w:szCs w:val="17"/>
        </w:rPr>
      </w:pPr>
      <w:r w:rsidRPr="001012CE">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1012CE"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8D73A5" w:rsidRDefault="006520E3" w:rsidP="00137283">
            <w:pPr>
              <w:jc w:val="center"/>
              <w:rPr>
                <w:rFonts w:ascii="Arial" w:hAnsi="Arial" w:cs="Arial"/>
                <w:b/>
                <w:bCs/>
                <w:color w:val="000000"/>
                <w:sz w:val="17"/>
                <w:szCs w:val="17"/>
              </w:rPr>
            </w:pPr>
            <w:r w:rsidRPr="008D73A5">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8D73A5"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8D73A5"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012CE" w:rsidRDefault="006520E3" w:rsidP="00137283">
            <w:pPr>
              <w:rPr>
                <w:rFonts w:ascii="Arial" w:hAnsi="Arial" w:cs="Arial"/>
                <w:color w:val="000000"/>
                <w:sz w:val="17"/>
                <w:szCs w:val="17"/>
              </w:rPr>
            </w:pPr>
            <w:r>
              <w:rPr>
                <w:rFonts w:ascii="Arial" w:hAnsi="Arial" w:cs="Arial"/>
                <w:color w:val="000000"/>
                <w:sz w:val="17"/>
                <w:szCs w:val="17"/>
              </w:rPr>
              <w:t xml:space="preserve">Efectivo en Bancos – </w:t>
            </w:r>
            <w:r w:rsidRPr="001012CE">
              <w:rPr>
                <w:rFonts w:ascii="Arial" w:hAnsi="Arial" w:cs="Arial"/>
                <w:color w:val="000000"/>
                <w:sz w:val="17"/>
                <w:szCs w:val="17"/>
              </w:rPr>
              <w:t>Tesorería</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012CE" w:rsidRDefault="006520E3" w:rsidP="00137283">
            <w:pPr>
              <w:rPr>
                <w:rFonts w:ascii="Arial" w:hAnsi="Arial" w:cs="Arial"/>
                <w:color w:val="000000"/>
                <w:sz w:val="17"/>
                <w:szCs w:val="17"/>
              </w:rPr>
            </w:pPr>
            <w:r w:rsidRPr="001012CE">
              <w:rPr>
                <w:rFonts w:ascii="Arial" w:hAnsi="Arial" w:cs="Arial"/>
                <w:color w:val="000000"/>
                <w:sz w:val="17"/>
                <w:szCs w:val="17"/>
              </w:rPr>
              <w:t>Efectivo en Bancos</w:t>
            </w:r>
            <w:r>
              <w:rPr>
                <w:rFonts w:ascii="Arial" w:hAnsi="Arial" w:cs="Arial"/>
                <w:color w:val="000000"/>
                <w:sz w:val="17"/>
                <w:szCs w:val="17"/>
              </w:rPr>
              <w:t xml:space="preserve"> –</w:t>
            </w:r>
            <w:r w:rsidRPr="001012CE">
              <w:rPr>
                <w:rFonts w:ascii="Arial" w:hAnsi="Arial" w:cs="Arial"/>
                <w:color w:val="000000"/>
                <w:sz w:val="17"/>
                <w:szCs w:val="17"/>
              </w:rPr>
              <w:t xml:space="preserve"> Dependencias</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5,255,349,036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5,114,355,919 </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012CE" w:rsidRDefault="006520E3" w:rsidP="00137283">
            <w:pPr>
              <w:rPr>
                <w:rFonts w:ascii="Arial" w:hAnsi="Arial" w:cs="Arial"/>
                <w:color w:val="000000"/>
                <w:sz w:val="17"/>
                <w:szCs w:val="17"/>
              </w:rPr>
            </w:pPr>
            <w:r w:rsidRPr="001012CE">
              <w:rPr>
                <w:rFonts w:ascii="Arial" w:hAnsi="Arial" w:cs="Arial"/>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11,203,660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8,864,125 </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6520E3" w:rsidRPr="001012CE" w:rsidRDefault="006520E3" w:rsidP="00137283">
            <w:pPr>
              <w:rPr>
                <w:rFonts w:ascii="Arial" w:hAnsi="Arial" w:cs="Arial"/>
                <w:color w:val="000000"/>
                <w:sz w:val="17"/>
                <w:szCs w:val="17"/>
              </w:rPr>
            </w:pPr>
            <w:r>
              <w:rPr>
                <w:rFonts w:ascii="Arial" w:hAnsi="Arial" w:cs="Arial"/>
                <w:color w:val="000000"/>
                <w:sz w:val="17"/>
                <w:szCs w:val="17"/>
              </w:rPr>
              <w:t>Fondos con afectación específica</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731,623,348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1,066,178,993 </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012CE" w:rsidRDefault="006520E3" w:rsidP="00137283">
            <w:pPr>
              <w:rPr>
                <w:rFonts w:ascii="Arial" w:hAnsi="Arial" w:cs="Arial"/>
                <w:color w:val="000000"/>
                <w:sz w:val="17"/>
                <w:szCs w:val="17"/>
              </w:rPr>
            </w:pPr>
            <w:r w:rsidRPr="001012CE">
              <w:rPr>
                <w:rFonts w:ascii="Arial" w:hAnsi="Arial" w:cs="Arial"/>
                <w:color w:val="000000"/>
                <w:sz w:val="17"/>
                <w:szCs w:val="17"/>
              </w:rPr>
              <w:t>Depósitos de Fondos de Terceros y Otros</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2,500 </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012CE" w:rsidRDefault="006520E3" w:rsidP="00137283">
            <w:pPr>
              <w:rPr>
                <w:rFonts w:ascii="Arial" w:hAnsi="Arial" w:cs="Arial"/>
                <w:color w:val="000000"/>
                <w:sz w:val="17"/>
                <w:szCs w:val="17"/>
              </w:rPr>
            </w:pPr>
            <w:r w:rsidRPr="001012CE">
              <w:rPr>
                <w:rFonts w:ascii="Arial" w:hAnsi="Arial" w:cs="Arial"/>
                <w:color w:val="000000"/>
                <w:sz w:val="17"/>
                <w:szCs w:val="17"/>
              </w:rPr>
              <w:t>Otros Efectivos y Equivalentes</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   </w:t>
            </w:r>
          </w:p>
        </w:tc>
      </w:tr>
      <w:tr w:rsidR="006520E3" w:rsidRPr="000D2442"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1012CE" w:rsidRDefault="006520E3" w:rsidP="00137283">
            <w:pPr>
              <w:jc w:val="center"/>
              <w:rPr>
                <w:rFonts w:ascii="Arial" w:hAnsi="Arial" w:cs="Arial"/>
                <w:b/>
                <w:bCs/>
                <w:color w:val="000000"/>
                <w:sz w:val="17"/>
                <w:szCs w:val="17"/>
              </w:rPr>
            </w:pPr>
            <w:r w:rsidRPr="001012CE">
              <w:rPr>
                <w:rFonts w:ascii="Arial" w:hAnsi="Arial" w:cs="Arial"/>
                <w:b/>
                <w:bCs/>
                <w:color w:val="000000"/>
                <w:sz w:val="17"/>
                <w:szCs w:val="17"/>
              </w:rPr>
              <w:t>Total de Efectivo y Equivalentes</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5,998,176,043 </w:t>
            </w:r>
          </w:p>
        </w:tc>
        <w:tc>
          <w:tcPr>
            <w:tcW w:w="2180" w:type="dxa"/>
            <w:tcBorders>
              <w:top w:val="nil"/>
              <w:left w:val="nil"/>
              <w:bottom w:val="single" w:sz="4" w:space="0" w:color="auto"/>
              <w:right w:val="single" w:sz="4" w:space="0" w:color="auto"/>
            </w:tcBorders>
            <w:shd w:val="clear" w:color="000000" w:fill="FFFFFF"/>
          </w:tcPr>
          <w:p w:rsidR="006520E3" w:rsidRPr="000D2442" w:rsidRDefault="006520E3" w:rsidP="00137283">
            <w:pPr>
              <w:jc w:val="right"/>
              <w:rPr>
                <w:rFonts w:ascii="Arial" w:hAnsi="Arial" w:cs="Arial"/>
                <w:color w:val="000000"/>
                <w:sz w:val="17"/>
                <w:szCs w:val="17"/>
              </w:rPr>
            </w:pPr>
            <w:r w:rsidRPr="00941BEA">
              <w:rPr>
                <w:rFonts w:ascii="Arial" w:hAnsi="Arial" w:cs="Arial"/>
                <w:color w:val="000000"/>
                <w:sz w:val="17"/>
                <w:szCs w:val="17"/>
              </w:rPr>
              <w:t xml:space="preserve"> 6,189,401,537 </w:t>
            </w:r>
          </w:p>
        </w:tc>
      </w:tr>
    </w:tbl>
    <w:p w:rsidR="006520E3" w:rsidRPr="00B5585E" w:rsidRDefault="006520E3" w:rsidP="006520E3">
      <w:pPr>
        <w:spacing w:before="80" w:line="250" w:lineRule="exact"/>
        <w:ind w:left="709"/>
        <w:jc w:val="both"/>
        <w:rPr>
          <w:rFonts w:ascii="Arial" w:eastAsia="Calibri" w:hAnsi="Arial" w:cs="Arial"/>
          <w:spacing w:val="-1"/>
          <w:sz w:val="17"/>
          <w:szCs w:val="17"/>
          <w:highlight w:val="yellow"/>
        </w:rPr>
      </w:pPr>
    </w:p>
    <w:p w:rsidR="006520E3" w:rsidRPr="001012CE" w:rsidRDefault="006520E3" w:rsidP="006520E3">
      <w:pPr>
        <w:spacing w:before="80" w:line="250" w:lineRule="exact"/>
        <w:ind w:left="709"/>
        <w:jc w:val="both"/>
        <w:rPr>
          <w:rFonts w:ascii="Arial" w:eastAsia="Calibri" w:hAnsi="Arial" w:cs="Arial"/>
          <w:spacing w:val="-1"/>
          <w:sz w:val="17"/>
          <w:szCs w:val="17"/>
        </w:rPr>
      </w:pPr>
      <w:r w:rsidRPr="001012CE">
        <w:rPr>
          <w:rFonts w:ascii="Arial" w:eastAsia="Calibri" w:hAnsi="Arial" w:cs="Arial"/>
          <w:spacing w:val="-1"/>
          <w:sz w:val="17"/>
          <w:szCs w:val="17"/>
        </w:rPr>
        <w:t>A continuación, se expone la conciliación de los Flujos de Efectivos Netos de las Actividades de Operación y la cuenta de Ahorro/Desahorro antes de Rubros Extraordinarios:</w:t>
      </w:r>
    </w:p>
    <w:p w:rsidR="006520E3" w:rsidRPr="001012CE" w:rsidRDefault="006520E3" w:rsidP="006520E3">
      <w:pPr>
        <w:spacing w:before="80" w:line="250" w:lineRule="exact"/>
        <w:ind w:left="709"/>
        <w:jc w:val="center"/>
        <w:rPr>
          <w:rFonts w:ascii="Arial" w:eastAsia="Calibri" w:hAnsi="Arial" w:cs="Arial"/>
          <w:spacing w:val="-1"/>
          <w:sz w:val="17"/>
          <w:szCs w:val="17"/>
        </w:rPr>
      </w:pPr>
      <w:r w:rsidRPr="001012CE">
        <w:rPr>
          <w:rFonts w:ascii="Arial" w:eastAsia="Calibri" w:hAnsi="Arial" w:cs="Arial"/>
          <w:b/>
          <w:spacing w:val="-1"/>
          <w:sz w:val="17"/>
          <w:szCs w:val="17"/>
        </w:rPr>
        <w:t>(Pesos)</w:t>
      </w:r>
    </w:p>
    <w:tbl>
      <w:tblPr>
        <w:tblpPr w:leftFromText="141" w:rightFromText="141" w:vertAnchor="text" w:tblpXSpec="center" w:tblpY="1"/>
        <w:tblOverlap w:val="never"/>
        <w:tblW w:w="9691" w:type="dxa"/>
        <w:tblCellMar>
          <w:left w:w="70" w:type="dxa"/>
          <w:right w:w="70" w:type="dxa"/>
        </w:tblCellMar>
        <w:tblLook w:val="04A0" w:firstRow="1" w:lastRow="0" w:firstColumn="1" w:lastColumn="0" w:noHBand="0" w:noVBand="1"/>
      </w:tblPr>
      <w:tblGrid>
        <w:gridCol w:w="5331"/>
        <w:gridCol w:w="2180"/>
        <w:gridCol w:w="2180"/>
      </w:tblGrid>
      <w:tr w:rsidR="006520E3" w:rsidRPr="001012CE" w:rsidTr="00137283">
        <w:trPr>
          <w:trHeight w:val="240"/>
        </w:trPr>
        <w:tc>
          <w:tcPr>
            <w:tcW w:w="5331"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4F15DE" w:rsidRDefault="006520E3" w:rsidP="00137283">
            <w:pPr>
              <w:jc w:val="center"/>
              <w:rPr>
                <w:rFonts w:ascii="Arial" w:hAnsi="Arial" w:cs="Arial"/>
                <w:b/>
                <w:bCs/>
                <w:color w:val="000000"/>
                <w:sz w:val="17"/>
                <w:szCs w:val="17"/>
              </w:rPr>
            </w:pPr>
            <w:r w:rsidRPr="004F15DE">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1012CE" w:rsidRDefault="006520E3" w:rsidP="00137283">
            <w:pPr>
              <w:jc w:val="center"/>
              <w:rPr>
                <w:rFonts w:ascii="Arial" w:hAnsi="Arial" w:cs="Arial"/>
                <w:b/>
                <w:bCs/>
                <w:color w:val="000000"/>
                <w:sz w:val="17"/>
                <w:szCs w:val="17"/>
              </w:rPr>
            </w:pPr>
            <w:r>
              <w:rPr>
                <w:rFonts w:ascii="Arial" w:hAnsi="Arial" w:cs="Arial"/>
                <w:b/>
                <w:bCs/>
                <w:color w:val="000000"/>
                <w:sz w:val="17"/>
                <w:szCs w:val="17"/>
              </w:rPr>
              <w:t>2019</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1012CE" w:rsidRDefault="006520E3" w:rsidP="00137283">
            <w:pPr>
              <w:jc w:val="center"/>
              <w:rPr>
                <w:rFonts w:ascii="Arial" w:hAnsi="Arial" w:cs="Arial"/>
                <w:b/>
                <w:bCs/>
                <w:color w:val="000000"/>
                <w:sz w:val="17"/>
                <w:szCs w:val="17"/>
              </w:rPr>
            </w:pPr>
            <w:r>
              <w:rPr>
                <w:rFonts w:ascii="Arial" w:hAnsi="Arial" w:cs="Arial"/>
                <w:b/>
                <w:bCs/>
                <w:color w:val="000000"/>
                <w:sz w:val="17"/>
                <w:szCs w:val="17"/>
              </w:rPr>
              <w:t>2018</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rPr>
                <w:rFonts w:ascii="Arial" w:hAnsi="Arial" w:cs="Arial"/>
                <w:b/>
                <w:bCs/>
                <w:color w:val="000000"/>
                <w:sz w:val="17"/>
                <w:szCs w:val="17"/>
              </w:rPr>
            </w:pPr>
            <w:r w:rsidRPr="00851EF4">
              <w:rPr>
                <w:rFonts w:ascii="Arial" w:hAnsi="Arial" w:cs="Arial"/>
                <w:b/>
                <w:bCs/>
                <w:color w:val="000000"/>
                <w:sz w:val="17"/>
                <w:szCs w:val="17"/>
              </w:rPr>
              <w:t>Ahorro/Desahorro antes de Rubros Extraordinarios</w:t>
            </w:r>
          </w:p>
        </w:tc>
        <w:tc>
          <w:tcPr>
            <w:tcW w:w="2180" w:type="dxa"/>
            <w:tcBorders>
              <w:top w:val="nil"/>
              <w:left w:val="nil"/>
              <w:bottom w:val="single" w:sz="4" w:space="0" w:color="auto"/>
              <w:right w:val="single" w:sz="4" w:space="0" w:color="auto"/>
            </w:tcBorders>
            <w:shd w:val="clear" w:color="000000" w:fill="FFFFFF"/>
          </w:tcPr>
          <w:p w:rsidR="001977F7" w:rsidRPr="001977F7" w:rsidRDefault="002C2FD1" w:rsidP="001977F7">
            <w:pPr>
              <w:jc w:val="right"/>
              <w:rPr>
                <w:rFonts w:ascii="Arial" w:hAnsi="Arial" w:cs="Arial"/>
                <w:color w:val="000000"/>
                <w:sz w:val="17"/>
                <w:szCs w:val="17"/>
              </w:rPr>
            </w:pPr>
            <w:r>
              <w:rPr>
                <w:rFonts w:ascii="Arial" w:hAnsi="Arial" w:cs="Arial"/>
                <w:color w:val="000000"/>
                <w:sz w:val="17"/>
                <w:szCs w:val="17"/>
              </w:rPr>
              <w:t>-193,865,158</w:t>
            </w:r>
            <w:r w:rsidR="001977F7" w:rsidRPr="001977F7">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 4,928,396,007 </w:t>
            </w:r>
          </w:p>
        </w:tc>
      </w:tr>
      <w:tr w:rsidR="001977F7" w:rsidRPr="006A777B" w:rsidTr="00137283">
        <w:trPr>
          <w:trHeight w:val="105"/>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rPr>
                <w:rFonts w:ascii="Arial" w:hAnsi="Arial" w:cs="Arial"/>
                <w:b/>
                <w:bCs/>
                <w:color w:val="000000"/>
                <w:sz w:val="17"/>
                <w:szCs w:val="17"/>
              </w:rPr>
            </w:pPr>
            <w:r w:rsidRPr="00851EF4">
              <w:rPr>
                <w:rFonts w:ascii="Arial" w:hAnsi="Arial" w:cs="Arial"/>
                <w:b/>
                <w:bCs/>
                <w:color w:val="000000"/>
                <w:sz w:val="17"/>
                <w:szCs w:val="17"/>
              </w:rPr>
              <w:t>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rPr>
                <w:rFonts w:ascii="Arial" w:hAnsi="Arial" w:cs="Arial"/>
                <w:b/>
                <w:i/>
                <w:iCs/>
                <w:color w:val="000000"/>
                <w:sz w:val="17"/>
                <w:szCs w:val="17"/>
              </w:rPr>
            </w:pPr>
            <w:r w:rsidRPr="00851EF4">
              <w:rPr>
                <w:rFonts w:ascii="Arial" w:hAnsi="Arial" w:cs="Arial"/>
                <w:b/>
                <w:i/>
                <w:iCs/>
                <w:color w:val="000000"/>
                <w:sz w:val="17"/>
                <w:szCs w:val="17"/>
              </w:rPr>
              <w:t>Movimientos de partidas (o rubros) que no afectan al efectivo</w:t>
            </w:r>
          </w:p>
        </w:tc>
        <w:tc>
          <w:tcPr>
            <w:tcW w:w="2180" w:type="dxa"/>
            <w:tcBorders>
              <w:top w:val="nil"/>
              <w:left w:val="nil"/>
              <w:bottom w:val="single" w:sz="4" w:space="0" w:color="auto"/>
              <w:right w:val="single" w:sz="4" w:space="0" w:color="auto"/>
            </w:tcBorders>
            <w:shd w:val="clear" w:color="000000" w:fill="FFFFFF"/>
            <w:hideMark/>
          </w:tcPr>
          <w:p w:rsidR="001977F7" w:rsidRPr="001977F7" w:rsidRDefault="002C2FD1" w:rsidP="001977F7">
            <w:pPr>
              <w:jc w:val="right"/>
              <w:rPr>
                <w:rFonts w:ascii="Arial" w:hAnsi="Arial" w:cs="Arial"/>
                <w:color w:val="000000"/>
                <w:sz w:val="17"/>
                <w:szCs w:val="17"/>
              </w:rPr>
            </w:pPr>
            <w:r>
              <w:rPr>
                <w:rFonts w:ascii="Arial" w:hAnsi="Arial" w:cs="Arial"/>
                <w:color w:val="000000"/>
                <w:sz w:val="17"/>
                <w:szCs w:val="17"/>
              </w:rPr>
              <w:t xml:space="preserve"> 3,534,042,528</w:t>
            </w:r>
            <w:r w:rsidR="001977F7" w:rsidRPr="001977F7">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hideMark/>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-1,943,768,525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Depreciación</w:t>
            </w:r>
          </w:p>
        </w:tc>
        <w:tc>
          <w:tcPr>
            <w:tcW w:w="2180" w:type="dxa"/>
            <w:tcBorders>
              <w:top w:val="nil"/>
              <w:left w:val="nil"/>
              <w:bottom w:val="single" w:sz="4" w:space="0" w:color="auto"/>
              <w:right w:val="single" w:sz="4" w:space="0" w:color="auto"/>
            </w:tcBorders>
            <w:shd w:val="clear" w:color="auto" w:fill="auto"/>
          </w:tcPr>
          <w:p w:rsidR="001977F7" w:rsidRPr="001977F7" w:rsidRDefault="002C2FD1" w:rsidP="001977F7">
            <w:pPr>
              <w:jc w:val="right"/>
              <w:rPr>
                <w:rFonts w:ascii="Arial" w:hAnsi="Arial" w:cs="Arial"/>
                <w:color w:val="000000"/>
                <w:sz w:val="17"/>
                <w:szCs w:val="17"/>
              </w:rPr>
            </w:pPr>
            <w:r>
              <w:rPr>
                <w:rFonts w:ascii="Arial" w:hAnsi="Arial" w:cs="Arial"/>
                <w:color w:val="000000"/>
                <w:sz w:val="17"/>
                <w:szCs w:val="17"/>
              </w:rPr>
              <w:t>-256,932,058</w:t>
            </w:r>
            <w:r w:rsidR="001977F7" w:rsidRPr="001977F7">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-203,031,541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Amortización</w:t>
            </w:r>
          </w:p>
        </w:tc>
        <w:tc>
          <w:tcPr>
            <w:tcW w:w="2180" w:type="dxa"/>
            <w:tcBorders>
              <w:top w:val="nil"/>
              <w:left w:val="nil"/>
              <w:bottom w:val="single" w:sz="4" w:space="0" w:color="auto"/>
              <w:right w:val="single" w:sz="4" w:space="0" w:color="auto"/>
            </w:tcBorders>
            <w:shd w:val="clear" w:color="auto" w:fill="auto"/>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-267,329,434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-187,764,260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Incrementos en las provisiones</w:t>
            </w:r>
          </w:p>
        </w:tc>
        <w:tc>
          <w:tcPr>
            <w:tcW w:w="2180" w:type="dxa"/>
            <w:tcBorders>
              <w:top w:val="nil"/>
              <w:left w:val="nil"/>
              <w:bottom w:val="single" w:sz="4" w:space="0" w:color="auto"/>
              <w:right w:val="single" w:sz="4" w:space="0" w:color="auto"/>
            </w:tcBorders>
            <w:shd w:val="clear" w:color="auto" w:fill="auto"/>
          </w:tcPr>
          <w:p w:rsidR="001977F7" w:rsidRPr="001977F7" w:rsidRDefault="001977F7" w:rsidP="001977F7">
            <w:pPr>
              <w:jc w:val="right"/>
              <w:rPr>
                <w:rFonts w:ascii="Arial" w:hAnsi="Arial" w:cs="Arial"/>
                <w:color w:val="000000"/>
                <w:sz w:val="17"/>
                <w:szCs w:val="17"/>
              </w:rPr>
            </w:pPr>
            <w:r>
              <w:rPr>
                <w:rFonts w:ascii="Arial" w:hAnsi="Arial" w:cs="Arial"/>
                <w:color w:val="000000"/>
                <w:sz w:val="17"/>
                <w:szCs w:val="17"/>
              </w:rPr>
              <w:t>-</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 -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Incremento en inversiones producido por revaluación</w:t>
            </w:r>
          </w:p>
        </w:tc>
        <w:tc>
          <w:tcPr>
            <w:tcW w:w="2180" w:type="dxa"/>
            <w:tcBorders>
              <w:top w:val="nil"/>
              <w:left w:val="nil"/>
              <w:bottom w:val="single" w:sz="4" w:space="0" w:color="auto"/>
              <w:right w:val="single" w:sz="4" w:space="0" w:color="auto"/>
            </w:tcBorders>
            <w:shd w:val="clear" w:color="auto" w:fill="auto"/>
          </w:tcPr>
          <w:p w:rsidR="001977F7" w:rsidRPr="001977F7" w:rsidRDefault="001977F7" w:rsidP="001977F7">
            <w:pPr>
              <w:jc w:val="right"/>
              <w:rPr>
                <w:rFonts w:ascii="Arial" w:hAnsi="Arial" w:cs="Arial"/>
                <w:color w:val="000000"/>
                <w:sz w:val="17"/>
                <w:szCs w:val="17"/>
              </w:rPr>
            </w:pPr>
            <w:r>
              <w:rPr>
                <w:rFonts w:ascii="Arial" w:hAnsi="Arial" w:cs="Arial"/>
                <w:color w:val="000000"/>
                <w:sz w:val="17"/>
                <w:szCs w:val="17"/>
              </w:rPr>
              <w:t>-</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 -   </w:t>
            </w:r>
          </w:p>
        </w:tc>
      </w:tr>
      <w:tr w:rsidR="001977F7" w:rsidRPr="006A777B" w:rsidTr="00137283">
        <w:trPr>
          <w:trHeight w:val="211"/>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Ganancia/pérdida en venta de propiedad, planta y equipo</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Pr>
                <w:rFonts w:ascii="Arial" w:hAnsi="Arial" w:cs="Arial"/>
                <w:color w:val="000000"/>
                <w:sz w:val="17"/>
                <w:szCs w:val="17"/>
              </w:rPr>
              <w:t>-</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 -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Incremento en activo circulante</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B959C2">
            <w:pPr>
              <w:jc w:val="right"/>
              <w:rPr>
                <w:rFonts w:ascii="Arial" w:hAnsi="Arial" w:cs="Arial"/>
                <w:color w:val="000000"/>
                <w:sz w:val="17"/>
                <w:szCs w:val="17"/>
              </w:rPr>
            </w:pPr>
            <w:r w:rsidRPr="001977F7">
              <w:rPr>
                <w:rFonts w:ascii="Arial" w:hAnsi="Arial" w:cs="Arial"/>
                <w:color w:val="000000"/>
                <w:sz w:val="17"/>
                <w:szCs w:val="17"/>
              </w:rPr>
              <w:t xml:space="preserve"> </w:t>
            </w:r>
            <w:r w:rsidR="00B959C2">
              <w:rPr>
                <w:rFonts w:ascii="Arial" w:hAnsi="Arial" w:cs="Arial"/>
                <w:color w:val="000000"/>
                <w:sz w:val="17"/>
                <w:szCs w:val="17"/>
              </w:rPr>
              <w:t>-</w:t>
            </w:r>
            <w:r w:rsidRPr="001977F7">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Pr>
                <w:rFonts w:ascii="Arial" w:hAnsi="Arial" w:cs="Arial"/>
                <w:color w:val="000000"/>
                <w:sz w:val="17"/>
                <w:szCs w:val="17"/>
              </w:rPr>
              <w:t>-</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Incremento en la hacienda pública</w:t>
            </w:r>
          </w:p>
        </w:tc>
        <w:tc>
          <w:tcPr>
            <w:tcW w:w="2180" w:type="dxa"/>
            <w:tcBorders>
              <w:top w:val="nil"/>
              <w:left w:val="nil"/>
              <w:bottom w:val="single" w:sz="4" w:space="0" w:color="auto"/>
              <w:right w:val="single" w:sz="4" w:space="0" w:color="auto"/>
            </w:tcBorders>
            <w:shd w:val="clear" w:color="000000" w:fill="FFFFFF"/>
          </w:tcPr>
          <w:p w:rsidR="001977F7" w:rsidRPr="001977F7" w:rsidRDefault="00B959C2" w:rsidP="001977F7">
            <w:pPr>
              <w:jc w:val="right"/>
              <w:rPr>
                <w:rFonts w:ascii="Arial" w:hAnsi="Arial" w:cs="Arial"/>
                <w:color w:val="000000"/>
                <w:sz w:val="17"/>
                <w:szCs w:val="17"/>
              </w:rPr>
            </w:pPr>
            <w:r>
              <w:rPr>
                <w:rFonts w:ascii="Arial" w:hAnsi="Arial" w:cs="Arial"/>
                <w:color w:val="000000"/>
                <w:sz w:val="17"/>
                <w:szCs w:val="17"/>
              </w:rPr>
              <w:t>-799,323,129</w:t>
            </w:r>
            <w:r w:rsidR="001977F7" w:rsidRPr="001977F7">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-5,578,981,858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ind w:firstLineChars="100" w:firstLine="170"/>
              <w:rPr>
                <w:rFonts w:ascii="Arial" w:hAnsi="Arial" w:cs="Arial"/>
                <w:color w:val="000000"/>
                <w:sz w:val="17"/>
                <w:szCs w:val="17"/>
              </w:rPr>
            </w:pPr>
            <w:r w:rsidRPr="00851EF4">
              <w:rPr>
                <w:rFonts w:ascii="Arial" w:hAnsi="Arial" w:cs="Arial"/>
                <w:color w:val="000000"/>
                <w:sz w:val="17"/>
                <w:szCs w:val="17"/>
              </w:rPr>
              <w:t xml:space="preserve">Partidas extraordinarias </w:t>
            </w:r>
          </w:p>
        </w:tc>
        <w:tc>
          <w:tcPr>
            <w:tcW w:w="2180" w:type="dxa"/>
            <w:tcBorders>
              <w:top w:val="nil"/>
              <w:left w:val="nil"/>
              <w:bottom w:val="single" w:sz="4" w:space="0" w:color="auto"/>
              <w:right w:val="single" w:sz="4" w:space="0" w:color="auto"/>
            </w:tcBorders>
            <w:shd w:val="clear" w:color="000000" w:fill="FFFFFF"/>
          </w:tcPr>
          <w:p w:rsidR="001977F7" w:rsidRPr="00B959C2" w:rsidRDefault="00B959C2" w:rsidP="001977F7">
            <w:pPr>
              <w:jc w:val="right"/>
              <w:rPr>
                <w:rFonts w:ascii="Arial" w:hAnsi="Arial" w:cs="Arial"/>
                <w:color w:val="000000"/>
                <w:sz w:val="17"/>
                <w:szCs w:val="17"/>
              </w:rPr>
            </w:pPr>
            <w:r w:rsidRPr="00B959C2">
              <w:rPr>
                <w:rFonts w:ascii="Arial" w:hAnsi="Arial" w:cs="Arial"/>
                <w:color w:val="000000"/>
                <w:sz w:val="17"/>
                <w:szCs w:val="17"/>
              </w:rPr>
              <w:t xml:space="preserve"> 2,460,425,430</w:t>
            </w:r>
            <w:r w:rsidR="001977F7" w:rsidRPr="00B959C2">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-1,528,395,524 </w:t>
            </w:r>
          </w:p>
        </w:tc>
      </w:tr>
      <w:tr w:rsidR="001977F7" w:rsidRPr="006A777B" w:rsidTr="00137283">
        <w:trPr>
          <w:trHeight w:val="240"/>
        </w:trPr>
        <w:tc>
          <w:tcPr>
            <w:tcW w:w="5331" w:type="dxa"/>
            <w:tcBorders>
              <w:top w:val="nil"/>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numPr>
                <w:ilvl w:val="0"/>
                <w:numId w:val="36"/>
              </w:numPr>
              <w:rPr>
                <w:rFonts w:ascii="Arial" w:hAnsi="Arial" w:cs="Arial"/>
                <w:color w:val="000000"/>
                <w:sz w:val="17"/>
                <w:szCs w:val="17"/>
              </w:rPr>
            </w:pPr>
            <w:r w:rsidRPr="00851EF4">
              <w:rPr>
                <w:rFonts w:ascii="Arial" w:hAnsi="Arial" w:cs="Arial"/>
                <w:color w:val="000000"/>
                <w:sz w:val="17"/>
                <w:szCs w:val="17"/>
              </w:rPr>
              <w:t>Otros ingresos y beneficios</w:t>
            </w:r>
          </w:p>
        </w:tc>
        <w:tc>
          <w:tcPr>
            <w:tcW w:w="2180" w:type="dxa"/>
            <w:tcBorders>
              <w:top w:val="nil"/>
              <w:left w:val="nil"/>
              <w:bottom w:val="single" w:sz="4" w:space="0" w:color="auto"/>
              <w:right w:val="single" w:sz="4" w:space="0" w:color="auto"/>
            </w:tcBorders>
            <w:shd w:val="clear" w:color="000000" w:fill="FFFFFF"/>
          </w:tcPr>
          <w:p w:rsidR="001977F7" w:rsidRPr="00B959C2" w:rsidRDefault="00B959C2" w:rsidP="001977F7">
            <w:pPr>
              <w:jc w:val="right"/>
              <w:rPr>
                <w:rFonts w:ascii="Arial" w:hAnsi="Arial" w:cs="Arial"/>
                <w:color w:val="000000"/>
                <w:sz w:val="17"/>
                <w:szCs w:val="17"/>
              </w:rPr>
            </w:pPr>
            <w:r w:rsidRPr="00B959C2">
              <w:rPr>
                <w:rFonts w:ascii="Arial" w:hAnsi="Arial" w:cs="Arial"/>
                <w:color w:val="000000"/>
                <w:sz w:val="17"/>
                <w:szCs w:val="17"/>
              </w:rPr>
              <w:t xml:space="preserve"> 2,397,201,718</w:t>
            </w:r>
            <w:r w:rsidR="001977F7" w:rsidRPr="00B959C2">
              <w:rPr>
                <w:rFonts w:ascii="Arial" w:hAnsi="Arial" w:cs="Arial"/>
                <w:color w:val="000000"/>
                <w:sz w:val="17"/>
                <w:szCs w:val="17"/>
              </w:rPr>
              <w:t xml:space="preserve"> </w:t>
            </w:r>
          </w:p>
        </w:tc>
        <w:tc>
          <w:tcPr>
            <w:tcW w:w="2180" w:type="dxa"/>
            <w:tcBorders>
              <w:top w:val="nil"/>
              <w:left w:val="nil"/>
              <w:bottom w:val="single" w:sz="4" w:space="0" w:color="auto"/>
              <w:right w:val="single" w:sz="4" w:space="0" w:color="auto"/>
            </w:tcBorders>
            <w:shd w:val="clear" w:color="000000" w:fill="FFFFFF"/>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 5,554,404,659 </w:t>
            </w:r>
          </w:p>
        </w:tc>
      </w:tr>
      <w:tr w:rsidR="001977F7" w:rsidRPr="006A777B" w:rsidTr="00137283">
        <w:trPr>
          <w:trHeight w:val="240"/>
        </w:trPr>
        <w:tc>
          <w:tcPr>
            <w:tcW w:w="53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7F7" w:rsidRPr="00851EF4" w:rsidRDefault="001977F7" w:rsidP="001977F7">
            <w:pPr>
              <w:rPr>
                <w:rFonts w:ascii="Arial" w:hAnsi="Arial" w:cs="Arial"/>
                <w:b/>
                <w:bCs/>
                <w:color w:val="000000"/>
                <w:sz w:val="17"/>
                <w:szCs w:val="17"/>
              </w:rPr>
            </w:pPr>
            <w:r w:rsidRPr="00851EF4">
              <w:rPr>
                <w:rFonts w:ascii="Arial" w:hAnsi="Arial" w:cs="Arial"/>
                <w:b/>
                <w:bCs/>
                <w:color w:val="000000"/>
                <w:sz w:val="17"/>
                <w:szCs w:val="17"/>
              </w:rPr>
              <w:t>Flujos de Efectivo Netos de las Actividades de Operación</w:t>
            </w:r>
          </w:p>
        </w:tc>
        <w:tc>
          <w:tcPr>
            <w:tcW w:w="2180" w:type="dxa"/>
            <w:tcBorders>
              <w:top w:val="single" w:sz="4" w:space="0" w:color="auto"/>
              <w:left w:val="nil"/>
              <w:bottom w:val="single" w:sz="4" w:space="0" w:color="auto"/>
              <w:right w:val="single" w:sz="4" w:space="0" w:color="auto"/>
            </w:tcBorders>
            <w:shd w:val="clear" w:color="000000" w:fill="FFFFFF"/>
            <w:hideMark/>
          </w:tcPr>
          <w:p w:rsidR="001977F7" w:rsidRPr="00B959C2" w:rsidRDefault="00B959C2" w:rsidP="001977F7">
            <w:pPr>
              <w:jc w:val="right"/>
              <w:rPr>
                <w:rFonts w:ascii="Arial" w:hAnsi="Arial" w:cs="Arial"/>
                <w:color w:val="000000"/>
                <w:sz w:val="17"/>
                <w:szCs w:val="17"/>
              </w:rPr>
            </w:pPr>
            <w:r w:rsidRPr="00B959C2">
              <w:rPr>
                <w:rFonts w:ascii="Arial" w:hAnsi="Arial" w:cs="Arial"/>
                <w:color w:val="000000"/>
                <w:sz w:val="17"/>
                <w:szCs w:val="17"/>
              </w:rPr>
              <w:t xml:space="preserve"> 3,340,177,370</w:t>
            </w:r>
            <w:r w:rsidR="001977F7" w:rsidRPr="00B959C2">
              <w:rPr>
                <w:rFonts w:ascii="Arial" w:hAnsi="Arial" w:cs="Arial"/>
                <w:color w:val="000000"/>
                <w:sz w:val="17"/>
                <w:szCs w:val="17"/>
              </w:rPr>
              <w:t xml:space="preserve"> </w:t>
            </w:r>
          </w:p>
        </w:tc>
        <w:tc>
          <w:tcPr>
            <w:tcW w:w="2180" w:type="dxa"/>
            <w:tcBorders>
              <w:top w:val="single" w:sz="4" w:space="0" w:color="auto"/>
              <w:left w:val="nil"/>
              <w:bottom w:val="single" w:sz="4" w:space="0" w:color="auto"/>
              <w:right w:val="single" w:sz="4" w:space="0" w:color="auto"/>
            </w:tcBorders>
            <w:shd w:val="clear" w:color="000000" w:fill="FFFFFF"/>
            <w:hideMark/>
          </w:tcPr>
          <w:p w:rsidR="001977F7" w:rsidRPr="001977F7" w:rsidRDefault="001977F7" w:rsidP="001977F7">
            <w:pPr>
              <w:jc w:val="right"/>
              <w:rPr>
                <w:rFonts w:ascii="Arial" w:hAnsi="Arial" w:cs="Arial"/>
                <w:color w:val="000000"/>
                <w:sz w:val="17"/>
                <w:szCs w:val="17"/>
              </w:rPr>
            </w:pPr>
            <w:r w:rsidRPr="001977F7">
              <w:rPr>
                <w:rFonts w:ascii="Arial" w:hAnsi="Arial" w:cs="Arial"/>
                <w:color w:val="000000"/>
                <w:sz w:val="17"/>
                <w:szCs w:val="17"/>
              </w:rPr>
              <w:t xml:space="preserve"> 2,984,627,482 </w:t>
            </w:r>
          </w:p>
        </w:tc>
      </w:tr>
    </w:tbl>
    <w:p w:rsidR="006520E3" w:rsidRPr="005D7173" w:rsidRDefault="006520E3" w:rsidP="006520E3">
      <w:pPr>
        <w:pStyle w:val="Prrafodelista"/>
        <w:autoSpaceDE w:val="0"/>
        <w:autoSpaceDN w:val="0"/>
        <w:adjustRightInd w:val="0"/>
        <w:spacing w:before="240" w:after="120"/>
        <w:ind w:left="1080"/>
        <w:jc w:val="both"/>
        <w:rPr>
          <w:rFonts w:ascii="Arial" w:hAnsi="Arial" w:cs="Arial"/>
          <w:b/>
          <w:sz w:val="17"/>
          <w:szCs w:val="17"/>
        </w:rPr>
      </w:pPr>
      <w:r>
        <w:rPr>
          <w:rFonts w:ascii="Arial" w:hAnsi="Arial" w:cs="Arial"/>
          <w:b/>
          <w:sz w:val="17"/>
          <w:szCs w:val="17"/>
        </w:rPr>
        <w:br w:type="textWrapping" w:clear="all"/>
      </w:r>
    </w:p>
    <w:p w:rsidR="006520E3" w:rsidRDefault="006520E3" w:rsidP="006520E3">
      <w:pPr>
        <w:rPr>
          <w:rFonts w:ascii="Arial" w:hAnsi="Arial" w:cs="Arial"/>
          <w:b/>
          <w:sz w:val="17"/>
          <w:szCs w:val="17"/>
          <w:highlight w:val="yellow"/>
        </w:rPr>
      </w:pPr>
      <w:r>
        <w:rPr>
          <w:rFonts w:ascii="Arial" w:hAnsi="Arial" w:cs="Arial"/>
          <w:b/>
          <w:sz w:val="17"/>
          <w:szCs w:val="17"/>
          <w:highlight w:val="yellow"/>
        </w:rPr>
        <w:br w:type="page"/>
      </w:r>
    </w:p>
    <w:p w:rsidR="006520E3" w:rsidRPr="00E240C0" w:rsidRDefault="006520E3" w:rsidP="006520E3">
      <w:pPr>
        <w:pStyle w:val="Prrafodelista"/>
        <w:numPr>
          <w:ilvl w:val="0"/>
          <w:numId w:val="10"/>
        </w:numPr>
        <w:autoSpaceDE w:val="0"/>
        <w:autoSpaceDN w:val="0"/>
        <w:adjustRightInd w:val="0"/>
        <w:spacing w:before="240" w:after="120"/>
        <w:jc w:val="both"/>
        <w:rPr>
          <w:rFonts w:ascii="Arial" w:hAnsi="Arial" w:cs="Arial"/>
          <w:b/>
          <w:sz w:val="17"/>
          <w:szCs w:val="17"/>
        </w:rPr>
      </w:pPr>
      <w:r w:rsidRPr="00E240C0">
        <w:rPr>
          <w:rFonts w:ascii="Arial" w:hAnsi="Arial" w:cs="Arial"/>
          <w:b/>
          <w:sz w:val="17"/>
          <w:szCs w:val="17"/>
        </w:rPr>
        <w:lastRenderedPageBreak/>
        <w:t>Conciliación entre los Ingresos Presupuestarios y Contables, así como ent</w:t>
      </w:r>
      <w:r>
        <w:rPr>
          <w:rFonts w:ascii="Arial" w:hAnsi="Arial" w:cs="Arial"/>
          <w:b/>
          <w:sz w:val="17"/>
          <w:szCs w:val="17"/>
        </w:rPr>
        <w:t>r</w:t>
      </w:r>
      <w:r w:rsidRPr="00E240C0">
        <w:rPr>
          <w:rFonts w:ascii="Arial" w:hAnsi="Arial" w:cs="Arial"/>
          <w:b/>
          <w:sz w:val="17"/>
          <w:szCs w:val="17"/>
        </w:rPr>
        <w:t>e los Egresos Presupuestarios y los Gastos Contables</w:t>
      </w:r>
    </w:p>
    <w:p w:rsidR="006520E3" w:rsidRPr="00E240C0" w:rsidRDefault="006520E3" w:rsidP="006520E3">
      <w:pPr>
        <w:spacing w:before="80" w:line="250" w:lineRule="exact"/>
        <w:ind w:left="709"/>
        <w:jc w:val="both"/>
        <w:rPr>
          <w:rFonts w:ascii="Arial" w:eastAsia="Calibri" w:hAnsi="Arial" w:cs="Arial"/>
          <w:spacing w:val="-1"/>
          <w:sz w:val="17"/>
          <w:szCs w:val="17"/>
        </w:rPr>
      </w:pPr>
      <w:r w:rsidRPr="00E240C0">
        <w:rPr>
          <w:rFonts w:ascii="Arial" w:eastAsia="Calibri" w:hAnsi="Arial" w:cs="Arial"/>
          <w:spacing w:val="-1"/>
          <w:sz w:val="17"/>
          <w:szCs w:val="17"/>
        </w:rPr>
        <w:t>La conciliación se presenta atendiendo a lo dispuesto por el Acuerdo por el que se emite el formato de conciliación entre los ingresos presupuestarios y contables, así como entre los egresos presupuestarios y los gastos contables:</w:t>
      </w:r>
    </w:p>
    <w:p w:rsidR="006520E3" w:rsidRPr="00E240C0" w:rsidRDefault="006520E3" w:rsidP="006520E3">
      <w:pPr>
        <w:autoSpaceDE w:val="0"/>
        <w:autoSpaceDN w:val="0"/>
        <w:adjustRightInd w:val="0"/>
        <w:spacing w:before="240" w:after="120"/>
        <w:jc w:val="center"/>
        <w:rPr>
          <w:rFonts w:ascii="Arial" w:eastAsia="Calibri" w:hAnsi="Arial" w:cs="Arial"/>
          <w:b/>
          <w:spacing w:val="-1"/>
          <w:sz w:val="17"/>
          <w:szCs w:val="17"/>
        </w:rPr>
      </w:pPr>
      <w:r w:rsidRPr="00E240C0">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E240C0" w:rsidTr="00137283">
        <w:trPr>
          <w:trHeight w:val="240"/>
          <w:jc w:val="center"/>
        </w:trPr>
        <w:tc>
          <w:tcPr>
            <w:tcW w:w="9260" w:type="dxa"/>
            <w:gridSpan w:val="3"/>
            <w:tcBorders>
              <w:top w:val="nil"/>
              <w:left w:val="nil"/>
              <w:bottom w:val="nil"/>
              <w:right w:val="nil"/>
            </w:tcBorders>
            <w:shd w:val="clear" w:color="000000" w:fill="FFFFFF"/>
            <w:vAlign w:val="center"/>
            <w:hideMark/>
          </w:tcPr>
          <w:p w:rsidR="006520E3" w:rsidRPr="008D73A5" w:rsidRDefault="006520E3" w:rsidP="00137283">
            <w:pPr>
              <w:rPr>
                <w:rFonts w:ascii="Arial" w:hAnsi="Arial" w:cs="Arial"/>
                <w:b/>
                <w:bCs/>
                <w:color w:val="000000"/>
                <w:sz w:val="17"/>
                <w:szCs w:val="17"/>
              </w:rPr>
            </w:pPr>
            <w:r w:rsidRPr="008D73A5">
              <w:rPr>
                <w:rFonts w:ascii="Arial" w:hAnsi="Arial" w:cs="Arial"/>
                <w:b/>
                <w:bCs/>
                <w:color w:val="000000"/>
                <w:sz w:val="17"/>
                <w:szCs w:val="17"/>
              </w:rPr>
              <w:t>A. Conciliación entre los Ingresos Presupuestarios y Contables:</w:t>
            </w:r>
          </w:p>
        </w:tc>
      </w:tr>
      <w:tr w:rsidR="006520E3" w:rsidRPr="00B5585E" w:rsidTr="00137283">
        <w:trPr>
          <w:trHeight w:val="240"/>
          <w:jc w:val="center"/>
        </w:trPr>
        <w:tc>
          <w:tcPr>
            <w:tcW w:w="4900" w:type="dxa"/>
            <w:tcBorders>
              <w:top w:val="nil"/>
              <w:left w:val="nil"/>
              <w:bottom w:val="nil"/>
              <w:right w:val="nil"/>
            </w:tcBorders>
            <w:shd w:val="clear" w:color="000000" w:fill="FFFFFF"/>
            <w:vAlign w:val="center"/>
          </w:tcPr>
          <w:p w:rsidR="006520E3" w:rsidRPr="0035290A" w:rsidRDefault="006520E3" w:rsidP="00137283">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tcPr>
          <w:p w:rsidR="006520E3" w:rsidRPr="0035290A" w:rsidRDefault="006520E3" w:rsidP="00137283">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tcPr>
          <w:p w:rsidR="006520E3" w:rsidRPr="0035290A" w:rsidRDefault="006520E3" w:rsidP="00137283">
            <w:pPr>
              <w:rPr>
                <w:rFonts w:ascii="Arial" w:hAnsi="Arial" w:cs="Arial"/>
                <w:b/>
                <w:bCs/>
                <w:color w:val="000000"/>
                <w:sz w:val="17"/>
                <w:szCs w:val="17"/>
              </w:rPr>
            </w:pPr>
          </w:p>
        </w:tc>
      </w:tr>
      <w:tr w:rsidR="006520E3" w:rsidRPr="006A777B"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1.Total de Ingresos Presupuestarios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6520E3" w:rsidP="00137283">
            <w:pPr>
              <w:jc w:val="center"/>
              <w:rPr>
                <w:rFonts w:ascii="Arial" w:hAnsi="Arial" w:cs="Arial"/>
                <w:b/>
                <w:bCs/>
                <w:color w:val="000000"/>
                <w:sz w:val="17"/>
                <w:szCs w:val="17"/>
              </w:rPr>
            </w:pPr>
            <w:r w:rsidRPr="00B17AAA">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B17AAA" w:rsidP="00137283">
            <w:pPr>
              <w:jc w:val="right"/>
              <w:rPr>
                <w:rFonts w:ascii="Arial" w:hAnsi="Arial" w:cs="Arial"/>
                <w:b/>
                <w:bCs/>
                <w:color w:val="000000"/>
                <w:sz w:val="16"/>
                <w:szCs w:val="16"/>
              </w:rPr>
            </w:pPr>
            <w:r w:rsidRPr="00B17AAA">
              <w:rPr>
                <w:rFonts w:ascii="Arial" w:hAnsi="Arial" w:cs="Arial"/>
                <w:b/>
                <w:bCs/>
                <w:color w:val="000000"/>
                <w:sz w:val="16"/>
                <w:szCs w:val="16"/>
              </w:rPr>
              <w:t>37,800,126,494</w:t>
            </w:r>
            <w:r w:rsidR="006520E3" w:rsidRPr="00B17AAA">
              <w:rPr>
                <w:rFonts w:ascii="Arial" w:hAnsi="Arial" w:cs="Arial"/>
                <w:b/>
                <w:bCs/>
                <w:color w:val="000000"/>
                <w:sz w:val="16"/>
                <w:szCs w:val="16"/>
              </w:rPr>
              <w:t xml:space="preserve"> </w:t>
            </w:r>
          </w:p>
        </w:tc>
      </w:tr>
      <w:tr w:rsidR="006520E3" w:rsidRPr="006A777B" w:rsidTr="00137283">
        <w:trPr>
          <w:trHeight w:val="240"/>
          <w:jc w:val="center"/>
        </w:trPr>
        <w:tc>
          <w:tcPr>
            <w:tcW w:w="4900" w:type="dxa"/>
            <w:tcBorders>
              <w:top w:val="nil"/>
              <w:left w:val="nil"/>
              <w:bottom w:val="nil"/>
              <w:right w:val="nil"/>
            </w:tcBorders>
            <w:shd w:val="clear" w:color="000000" w:fill="FFFFFF"/>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 </w:t>
            </w:r>
          </w:p>
        </w:tc>
      </w:tr>
      <w:tr w:rsidR="006520E3" w:rsidRPr="006A777B"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35290A" w:rsidRDefault="006520E3" w:rsidP="00137283">
            <w:pPr>
              <w:rPr>
                <w:rFonts w:ascii="Arial" w:hAnsi="Arial" w:cs="Arial"/>
                <w:b/>
                <w:bCs/>
                <w:color w:val="000000"/>
                <w:sz w:val="17"/>
                <w:szCs w:val="17"/>
              </w:rPr>
            </w:pPr>
            <w:r>
              <w:rPr>
                <w:rFonts w:ascii="Arial" w:hAnsi="Arial" w:cs="Arial"/>
                <w:b/>
                <w:bCs/>
                <w:color w:val="000000"/>
                <w:sz w:val="17"/>
                <w:szCs w:val="17"/>
              </w:rPr>
              <w:t>2. Más Ingresos Contables N</w:t>
            </w:r>
            <w:r w:rsidRPr="0035290A">
              <w:rPr>
                <w:rFonts w:ascii="Arial" w:hAnsi="Arial" w:cs="Arial"/>
                <w:b/>
                <w:bCs/>
                <w:color w:val="000000"/>
                <w:sz w:val="17"/>
                <w:szCs w:val="17"/>
              </w:rPr>
              <w:t>o Presupuestarios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6520E3" w:rsidP="00137283">
            <w:pPr>
              <w:jc w:val="center"/>
              <w:rPr>
                <w:rFonts w:ascii="Arial" w:hAnsi="Arial" w:cs="Arial"/>
                <w:b/>
                <w:bCs/>
                <w:color w:val="000000"/>
                <w:sz w:val="17"/>
                <w:szCs w:val="17"/>
              </w:rPr>
            </w:pPr>
            <w:r w:rsidRPr="00B17AAA">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EB5063" w:rsidP="00137283">
            <w:pPr>
              <w:jc w:val="right"/>
              <w:rPr>
                <w:rFonts w:ascii="Arial" w:hAnsi="Arial" w:cs="Arial"/>
                <w:b/>
                <w:bCs/>
                <w:color w:val="000000"/>
                <w:sz w:val="17"/>
                <w:szCs w:val="17"/>
              </w:rPr>
            </w:pPr>
            <w:r w:rsidRPr="00EB5063">
              <w:rPr>
                <w:rFonts w:ascii="Arial" w:hAnsi="Arial" w:cs="Arial"/>
                <w:b/>
                <w:bCs/>
                <w:color w:val="000000"/>
                <w:sz w:val="17"/>
                <w:szCs w:val="17"/>
              </w:rPr>
              <w:t>2,397,201,718</w:t>
            </w:r>
          </w:p>
        </w:tc>
      </w:tr>
      <w:tr w:rsidR="006520E3" w:rsidRPr="006A777B"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2.1 </w:t>
            </w:r>
            <w:r w:rsidRPr="0035290A">
              <w:rPr>
                <w:rFonts w:ascii="Arial" w:hAnsi="Arial" w:cs="Arial"/>
                <w:color w:val="000000"/>
                <w:sz w:val="17"/>
                <w:szCs w:val="17"/>
              </w:rPr>
              <w:t>Ingresos Financieros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hideMark/>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 </w:t>
            </w:r>
          </w:p>
        </w:tc>
      </w:tr>
      <w:tr w:rsidR="006520E3" w:rsidRPr="006A777B"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2.2 </w:t>
            </w:r>
            <w:r w:rsidRPr="0035290A">
              <w:rPr>
                <w:rFonts w:ascii="Arial" w:hAnsi="Arial" w:cs="Arial"/>
                <w:color w:val="000000"/>
                <w:sz w:val="17"/>
                <w:szCs w:val="17"/>
              </w:rPr>
              <w:t>Incremento por Variación de Inventarios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6A777B" w:rsidTr="00137283">
        <w:trPr>
          <w:trHeight w:val="48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2.3 </w:t>
            </w:r>
            <w:r w:rsidRPr="0035290A">
              <w:rPr>
                <w:rFonts w:ascii="Arial" w:hAnsi="Arial" w:cs="Arial"/>
                <w:color w:val="000000"/>
                <w:sz w:val="17"/>
                <w:szCs w:val="17"/>
              </w:rPr>
              <w:t>Disminución del Exceso de Estimaciones por Pérdida o Deterioro u Obsolescencia</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6A777B"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2.4 </w:t>
            </w:r>
            <w:r w:rsidRPr="0035290A">
              <w:rPr>
                <w:rFonts w:ascii="Arial" w:hAnsi="Arial" w:cs="Arial"/>
                <w:color w:val="000000"/>
                <w:sz w:val="17"/>
                <w:szCs w:val="17"/>
              </w:rPr>
              <w:t>Disminución del Exceso de Provisiones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6A777B"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2.5 </w:t>
            </w:r>
            <w:r w:rsidRPr="0035290A">
              <w:rPr>
                <w:rFonts w:ascii="Arial" w:hAnsi="Arial" w:cs="Arial"/>
                <w:color w:val="000000"/>
                <w:sz w:val="17"/>
                <w:szCs w:val="17"/>
              </w:rPr>
              <w:t>Otros Ingresos y Beneficios Varios</w:t>
            </w:r>
          </w:p>
        </w:tc>
        <w:tc>
          <w:tcPr>
            <w:tcW w:w="2180" w:type="dxa"/>
            <w:tcBorders>
              <w:top w:val="nil"/>
              <w:left w:val="nil"/>
              <w:bottom w:val="single" w:sz="4" w:space="0" w:color="auto"/>
              <w:right w:val="single" w:sz="4" w:space="0" w:color="auto"/>
            </w:tcBorders>
            <w:shd w:val="clear" w:color="000000" w:fill="FFFFFF"/>
            <w:vAlign w:val="center"/>
          </w:tcPr>
          <w:p w:rsidR="006520E3" w:rsidRPr="00507062" w:rsidRDefault="00EB5063" w:rsidP="00137283">
            <w:pPr>
              <w:jc w:val="right"/>
              <w:rPr>
                <w:rFonts w:ascii="Arial" w:hAnsi="Arial" w:cs="Arial"/>
                <w:bCs/>
                <w:color w:val="000000"/>
                <w:sz w:val="17"/>
                <w:szCs w:val="17"/>
                <w:highlight w:val="red"/>
              </w:rPr>
            </w:pPr>
            <w:r w:rsidRPr="00EB5063">
              <w:rPr>
                <w:rFonts w:ascii="Arial" w:hAnsi="Arial" w:cs="Arial"/>
                <w:bCs/>
                <w:color w:val="000000"/>
                <w:sz w:val="17"/>
                <w:szCs w:val="17"/>
              </w:rPr>
              <w:t>2,397,201,718</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B17AAA"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2.6 Otros Ingresos Contables N</w:t>
            </w:r>
            <w:r w:rsidRPr="0035290A">
              <w:rPr>
                <w:rFonts w:ascii="Arial" w:hAnsi="Arial" w:cs="Arial"/>
                <w:color w:val="000000"/>
                <w:sz w:val="17"/>
                <w:szCs w:val="17"/>
              </w:rPr>
              <w:t>o Presupuestarios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B17AAA" w:rsidTr="00137283">
        <w:trPr>
          <w:trHeight w:val="240"/>
          <w:jc w:val="center"/>
        </w:trPr>
        <w:tc>
          <w:tcPr>
            <w:tcW w:w="4900" w:type="dxa"/>
            <w:tcBorders>
              <w:top w:val="nil"/>
              <w:left w:val="nil"/>
              <w:bottom w:val="nil"/>
              <w:right w:val="nil"/>
            </w:tcBorders>
            <w:shd w:val="clear" w:color="000000" w:fill="FFFFFF"/>
            <w:vAlign w:val="center"/>
            <w:hideMark/>
          </w:tcPr>
          <w:p w:rsidR="006520E3" w:rsidRPr="0035290A" w:rsidRDefault="006520E3" w:rsidP="00137283">
            <w:pPr>
              <w:jc w:val="center"/>
              <w:rPr>
                <w:rFonts w:ascii="Arial" w:hAnsi="Arial" w:cs="Arial"/>
                <w:color w:val="000000"/>
                <w:sz w:val="17"/>
                <w:szCs w:val="17"/>
              </w:rPr>
            </w:pPr>
            <w:r w:rsidRPr="0035290A">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B17AAA" w:rsidRDefault="006520E3" w:rsidP="00137283">
            <w:pPr>
              <w:jc w:val="center"/>
              <w:rPr>
                <w:rFonts w:ascii="Arial" w:hAnsi="Arial" w:cs="Arial"/>
                <w:color w:val="000000"/>
                <w:sz w:val="17"/>
                <w:szCs w:val="17"/>
              </w:rPr>
            </w:pPr>
            <w:r w:rsidRPr="00B17AAA">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B17AAA" w:rsidRDefault="006520E3" w:rsidP="00137283">
            <w:pPr>
              <w:jc w:val="center"/>
              <w:rPr>
                <w:rFonts w:ascii="Arial" w:hAnsi="Arial" w:cs="Arial"/>
                <w:color w:val="000000"/>
                <w:sz w:val="17"/>
                <w:szCs w:val="17"/>
              </w:rPr>
            </w:pPr>
            <w:r w:rsidRPr="00B17AAA">
              <w:rPr>
                <w:rFonts w:ascii="Arial" w:hAnsi="Arial" w:cs="Arial"/>
                <w:color w:val="000000"/>
                <w:sz w:val="17"/>
                <w:szCs w:val="17"/>
              </w:rPr>
              <w:t> </w:t>
            </w:r>
          </w:p>
        </w:tc>
      </w:tr>
      <w:tr w:rsidR="006520E3" w:rsidRPr="00B17AA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35290A" w:rsidRDefault="006520E3" w:rsidP="00137283">
            <w:pPr>
              <w:rPr>
                <w:rFonts w:ascii="Arial" w:hAnsi="Arial" w:cs="Arial"/>
                <w:b/>
                <w:bCs/>
                <w:color w:val="000000"/>
                <w:sz w:val="17"/>
                <w:szCs w:val="17"/>
              </w:rPr>
            </w:pPr>
            <w:r w:rsidRPr="0035290A">
              <w:rPr>
                <w:rFonts w:ascii="Arial" w:hAnsi="Arial" w:cs="Arial"/>
                <w:b/>
                <w:bCs/>
                <w:color w:val="000000"/>
                <w:sz w:val="17"/>
                <w:szCs w:val="17"/>
              </w:rPr>
              <w:t>3. Menos Ingresos Presupuestarios no Contables</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6520E3" w:rsidP="00137283">
            <w:pPr>
              <w:jc w:val="center"/>
              <w:rPr>
                <w:rFonts w:ascii="Arial" w:hAnsi="Arial" w:cs="Arial"/>
                <w:b/>
                <w:bCs/>
                <w:color w:val="000000"/>
                <w:sz w:val="17"/>
                <w:szCs w:val="17"/>
              </w:rPr>
            </w:pPr>
            <w:r w:rsidRPr="00B17AAA">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6520E3" w:rsidP="00137283">
            <w:pPr>
              <w:jc w:val="right"/>
              <w:rPr>
                <w:rFonts w:ascii="Arial" w:hAnsi="Arial" w:cs="Arial"/>
                <w:b/>
                <w:bCs/>
                <w:color w:val="000000"/>
                <w:sz w:val="17"/>
                <w:szCs w:val="17"/>
              </w:rPr>
            </w:pPr>
            <w:r w:rsidRPr="00B17AAA">
              <w:rPr>
                <w:rFonts w:ascii="Arial" w:hAnsi="Arial" w:cs="Arial"/>
                <w:b/>
                <w:bCs/>
                <w:color w:val="000000"/>
                <w:sz w:val="17"/>
                <w:szCs w:val="17"/>
              </w:rPr>
              <w:t>-</w:t>
            </w:r>
          </w:p>
        </w:tc>
      </w:tr>
      <w:tr w:rsidR="006520E3" w:rsidRPr="00B17AAA"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3.1 </w:t>
            </w:r>
            <w:r w:rsidRPr="0035290A">
              <w:rPr>
                <w:rFonts w:ascii="Arial" w:hAnsi="Arial" w:cs="Arial"/>
                <w:color w:val="000000"/>
                <w:sz w:val="17"/>
                <w:szCs w:val="17"/>
              </w:rPr>
              <w:t>Aprovechamientos Patrimoniales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B17AAA"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 xml:space="preserve">3.2 </w:t>
            </w:r>
            <w:r w:rsidRPr="0035290A">
              <w:rPr>
                <w:rFonts w:ascii="Arial" w:hAnsi="Arial" w:cs="Arial"/>
                <w:color w:val="000000"/>
                <w:sz w:val="17"/>
                <w:szCs w:val="17"/>
              </w:rPr>
              <w:t>Ingresos Derivados de Financiamientos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B17AAA"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35290A" w:rsidRDefault="006520E3" w:rsidP="00137283">
            <w:pPr>
              <w:ind w:firstLineChars="100" w:firstLine="170"/>
              <w:rPr>
                <w:rFonts w:ascii="Arial" w:hAnsi="Arial" w:cs="Arial"/>
                <w:color w:val="000000"/>
                <w:sz w:val="17"/>
                <w:szCs w:val="17"/>
              </w:rPr>
            </w:pPr>
            <w:r>
              <w:rPr>
                <w:rFonts w:ascii="Arial" w:hAnsi="Arial" w:cs="Arial"/>
                <w:color w:val="000000"/>
                <w:sz w:val="17"/>
                <w:szCs w:val="17"/>
              </w:rPr>
              <w:t>3.3 Otros Ingresos Presupuestarios N</w:t>
            </w:r>
            <w:r w:rsidRPr="0035290A">
              <w:rPr>
                <w:rFonts w:ascii="Arial" w:hAnsi="Arial" w:cs="Arial"/>
                <w:color w:val="000000"/>
                <w:sz w:val="17"/>
                <w:szCs w:val="17"/>
              </w:rPr>
              <w:t>o Contables</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r w:rsidRPr="00B17AAA">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rsidR="006520E3" w:rsidRPr="00B17AAA" w:rsidRDefault="006520E3" w:rsidP="00137283">
            <w:pPr>
              <w:jc w:val="right"/>
              <w:rPr>
                <w:rFonts w:ascii="Arial" w:hAnsi="Arial" w:cs="Arial"/>
                <w:bCs/>
                <w:color w:val="000000"/>
                <w:sz w:val="17"/>
                <w:szCs w:val="17"/>
              </w:rPr>
            </w:pPr>
          </w:p>
        </w:tc>
      </w:tr>
      <w:tr w:rsidR="006520E3" w:rsidRPr="00B17AAA" w:rsidTr="00137283">
        <w:trPr>
          <w:trHeight w:val="240"/>
          <w:jc w:val="center"/>
        </w:trPr>
        <w:tc>
          <w:tcPr>
            <w:tcW w:w="4900" w:type="dxa"/>
            <w:tcBorders>
              <w:top w:val="nil"/>
              <w:left w:val="nil"/>
              <w:bottom w:val="nil"/>
              <w:right w:val="nil"/>
            </w:tcBorders>
            <w:shd w:val="clear" w:color="000000" w:fill="FFFFFF"/>
            <w:vAlign w:val="center"/>
            <w:hideMark/>
          </w:tcPr>
          <w:p w:rsidR="006520E3" w:rsidRPr="0035290A" w:rsidRDefault="006520E3" w:rsidP="00137283">
            <w:pPr>
              <w:jc w:val="center"/>
              <w:rPr>
                <w:rFonts w:ascii="Arial" w:hAnsi="Arial" w:cs="Arial"/>
                <w:color w:val="000000"/>
                <w:sz w:val="17"/>
                <w:szCs w:val="17"/>
              </w:rPr>
            </w:pPr>
            <w:r w:rsidRPr="0035290A">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B17AAA" w:rsidRDefault="006520E3" w:rsidP="00137283">
            <w:pPr>
              <w:jc w:val="center"/>
              <w:rPr>
                <w:rFonts w:ascii="Arial" w:hAnsi="Arial" w:cs="Arial"/>
                <w:color w:val="000000"/>
                <w:sz w:val="17"/>
                <w:szCs w:val="17"/>
              </w:rPr>
            </w:pPr>
            <w:r w:rsidRPr="00B17AAA">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B17AAA" w:rsidRDefault="006520E3" w:rsidP="00137283">
            <w:pPr>
              <w:jc w:val="center"/>
              <w:rPr>
                <w:rFonts w:ascii="Arial" w:hAnsi="Arial" w:cs="Arial"/>
                <w:color w:val="000000"/>
                <w:sz w:val="17"/>
                <w:szCs w:val="17"/>
              </w:rPr>
            </w:pPr>
            <w:r w:rsidRPr="00B17AAA">
              <w:rPr>
                <w:rFonts w:ascii="Arial" w:hAnsi="Arial" w:cs="Arial"/>
                <w:color w:val="000000"/>
                <w:sz w:val="17"/>
                <w:szCs w:val="17"/>
              </w:rPr>
              <w:t> </w:t>
            </w:r>
          </w:p>
        </w:tc>
      </w:tr>
      <w:tr w:rsidR="006520E3" w:rsidRPr="00B17AAA"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520E3" w:rsidRPr="0035290A" w:rsidRDefault="006520E3" w:rsidP="00137283">
            <w:pPr>
              <w:rPr>
                <w:rFonts w:ascii="Arial" w:hAnsi="Arial" w:cs="Arial"/>
                <w:b/>
                <w:bCs/>
                <w:color w:val="000000"/>
                <w:sz w:val="17"/>
                <w:szCs w:val="17"/>
              </w:rPr>
            </w:pPr>
            <w:r w:rsidRPr="0035290A">
              <w:rPr>
                <w:rFonts w:ascii="Arial" w:hAnsi="Arial" w:cs="Arial"/>
                <w:b/>
                <w:bCs/>
                <w:color w:val="000000"/>
                <w:sz w:val="17"/>
                <w:szCs w:val="17"/>
              </w:rPr>
              <w:t xml:space="preserve">4. Total de Ingresos Contables </w:t>
            </w:r>
          </w:p>
        </w:tc>
        <w:tc>
          <w:tcPr>
            <w:tcW w:w="2180" w:type="dxa"/>
            <w:tcBorders>
              <w:top w:val="single" w:sz="4" w:space="0" w:color="auto"/>
              <w:left w:val="nil"/>
              <w:bottom w:val="single" w:sz="4" w:space="0" w:color="auto"/>
              <w:right w:val="single" w:sz="4" w:space="0" w:color="auto"/>
            </w:tcBorders>
            <w:shd w:val="clear" w:color="000000" w:fill="F2F2F2"/>
            <w:vAlign w:val="center"/>
            <w:hideMark/>
          </w:tcPr>
          <w:p w:rsidR="006520E3" w:rsidRPr="00B17AAA" w:rsidRDefault="006520E3" w:rsidP="00137283">
            <w:pPr>
              <w:jc w:val="center"/>
              <w:rPr>
                <w:rFonts w:ascii="Arial" w:hAnsi="Arial" w:cs="Arial"/>
                <w:b/>
                <w:bCs/>
                <w:color w:val="000000"/>
                <w:sz w:val="17"/>
                <w:szCs w:val="17"/>
              </w:rPr>
            </w:pPr>
            <w:r w:rsidRPr="00B17AAA">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000000" w:fill="F2F2F2"/>
            <w:vAlign w:val="center"/>
            <w:hideMark/>
          </w:tcPr>
          <w:p w:rsidR="006520E3" w:rsidRPr="00B17AAA" w:rsidRDefault="00EB5063" w:rsidP="00137283">
            <w:pPr>
              <w:jc w:val="right"/>
              <w:rPr>
                <w:rFonts w:ascii="Arial" w:hAnsi="Arial" w:cs="Arial"/>
                <w:b/>
                <w:bCs/>
                <w:color w:val="000000"/>
                <w:sz w:val="17"/>
                <w:szCs w:val="17"/>
              </w:rPr>
            </w:pPr>
            <w:r w:rsidRPr="00EB5063">
              <w:rPr>
                <w:rFonts w:ascii="Arial" w:hAnsi="Arial" w:cs="Arial"/>
                <w:b/>
                <w:bCs/>
                <w:color w:val="000000"/>
                <w:sz w:val="17"/>
                <w:szCs w:val="17"/>
              </w:rPr>
              <w:t>40,197,328,212</w:t>
            </w:r>
          </w:p>
        </w:tc>
      </w:tr>
      <w:tr w:rsidR="006520E3" w:rsidRPr="00B5585E" w:rsidTr="00137283">
        <w:trPr>
          <w:trHeight w:val="240"/>
          <w:jc w:val="center"/>
        </w:trPr>
        <w:tc>
          <w:tcPr>
            <w:tcW w:w="4900" w:type="dxa"/>
            <w:tcBorders>
              <w:top w:val="nil"/>
              <w:left w:val="nil"/>
              <w:bottom w:val="nil"/>
              <w:right w:val="nil"/>
            </w:tcBorders>
            <w:shd w:val="clear" w:color="000000" w:fill="FFFFFF"/>
            <w:vAlign w:val="center"/>
            <w:hideMark/>
          </w:tcPr>
          <w:p w:rsidR="006520E3" w:rsidRPr="00E240C0" w:rsidRDefault="006520E3" w:rsidP="00137283">
            <w:pPr>
              <w:jc w:val="center"/>
              <w:rPr>
                <w:rFonts w:ascii="Arial" w:hAnsi="Arial" w:cs="Arial"/>
                <w:color w:val="000000"/>
                <w:sz w:val="17"/>
                <w:szCs w:val="17"/>
              </w:rPr>
            </w:pPr>
            <w:r w:rsidRPr="00E240C0">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DE45E0" w:rsidRDefault="006520E3" w:rsidP="00137283">
            <w:pPr>
              <w:jc w:val="center"/>
              <w:rPr>
                <w:rFonts w:ascii="Arial" w:hAnsi="Arial" w:cs="Arial"/>
                <w:color w:val="000000"/>
                <w:sz w:val="17"/>
                <w:szCs w:val="17"/>
              </w:rPr>
            </w:pPr>
            <w:r w:rsidRPr="00DE45E0">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DE45E0" w:rsidRDefault="006520E3" w:rsidP="00137283">
            <w:pPr>
              <w:jc w:val="center"/>
              <w:rPr>
                <w:rFonts w:ascii="Arial" w:hAnsi="Arial" w:cs="Arial"/>
                <w:color w:val="000000"/>
                <w:sz w:val="17"/>
                <w:szCs w:val="17"/>
              </w:rPr>
            </w:pPr>
            <w:r w:rsidRPr="00DE45E0">
              <w:rPr>
                <w:rFonts w:ascii="Arial" w:hAnsi="Arial" w:cs="Arial"/>
                <w:color w:val="000000"/>
                <w:sz w:val="17"/>
                <w:szCs w:val="17"/>
              </w:rPr>
              <w:t> </w:t>
            </w:r>
          </w:p>
        </w:tc>
      </w:tr>
      <w:tr w:rsidR="006520E3" w:rsidRPr="00B5585E" w:rsidTr="00137283">
        <w:trPr>
          <w:trHeight w:val="240"/>
          <w:jc w:val="center"/>
        </w:trPr>
        <w:tc>
          <w:tcPr>
            <w:tcW w:w="4900" w:type="dxa"/>
            <w:tcBorders>
              <w:top w:val="nil"/>
              <w:left w:val="nil"/>
              <w:bottom w:val="nil"/>
              <w:right w:val="nil"/>
            </w:tcBorders>
            <w:shd w:val="clear" w:color="000000" w:fill="FFFFFF"/>
            <w:vAlign w:val="center"/>
            <w:hideMark/>
          </w:tcPr>
          <w:p w:rsidR="006520E3" w:rsidRPr="00E240C0" w:rsidRDefault="006520E3" w:rsidP="00137283">
            <w:pPr>
              <w:jc w:val="center"/>
              <w:rPr>
                <w:rFonts w:ascii="Arial" w:hAnsi="Arial" w:cs="Arial"/>
                <w:color w:val="000000"/>
                <w:sz w:val="17"/>
                <w:szCs w:val="17"/>
              </w:rPr>
            </w:pPr>
            <w:r w:rsidRPr="00E240C0">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E240C0" w:rsidRDefault="006520E3" w:rsidP="00137283">
            <w:pPr>
              <w:jc w:val="center"/>
              <w:rPr>
                <w:rFonts w:ascii="Arial" w:hAnsi="Arial" w:cs="Arial"/>
                <w:color w:val="000000"/>
                <w:sz w:val="17"/>
                <w:szCs w:val="17"/>
              </w:rPr>
            </w:pPr>
            <w:r w:rsidRPr="00E240C0">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rsidR="006520E3" w:rsidRPr="00E240C0" w:rsidRDefault="006520E3" w:rsidP="00137283">
            <w:pPr>
              <w:jc w:val="center"/>
              <w:rPr>
                <w:rFonts w:ascii="Arial" w:hAnsi="Arial" w:cs="Arial"/>
                <w:color w:val="000000"/>
                <w:sz w:val="17"/>
                <w:szCs w:val="17"/>
              </w:rPr>
            </w:pPr>
            <w:r w:rsidRPr="00E240C0">
              <w:rPr>
                <w:rFonts w:ascii="Arial" w:hAnsi="Arial" w:cs="Arial"/>
                <w:color w:val="000000"/>
                <w:sz w:val="17"/>
                <w:szCs w:val="17"/>
              </w:rPr>
              <w:t> </w:t>
            </w:r>
          </w:p>
        </w:tc>
      </w:tr>
    </w:tbl>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Default="006520E3" w:rsidP="006520E3">
      <w:pPr>
        <w:rPr>
          <w:highlight w:val="yellow"/>
        </w:rPr>
      </w:pPr>
    </w:p>
    <w:p w:rsidR="006520E3" w:rsidRPr="00B5585E" w:rsidRDefault="006520E3" w:rsidP="006520E3">
      <w:pPr>
        <w:rPr>
          <w:highlight w:val="yellow"/>
        </w:rPr>
      </w:pPr>
    </w:p>
    <w:tbl>
      <w:tblPr>
        <w:tblW w:w="9714" w:type="dxa"/>
        <w:jc w:val="center"/>
        <w:tblCellMar>
          <w:left w:w="70" w:type="dxa"/>
          <w:right w:w="70" w:type="dxa"/>
        </w:tblCellMar>
        <w:tblLook w:val="04A0" w:firstRow="1" w:lastRow="0" w:firstColumn="1" w:lastColumn="0" w:noHBand="0" w:noVBand="1"/>
      </w:tblPr>
      <w:tblGrid>
        <w:gridCol w:w="5665"/>
        <w:gridCol w:w="2126"/>
        <w:gridCol w:w="1923"/>
      </w:tblGrid>
      <w:tr w:rsidR="006520E3" w:rsidRPr="00B97E8C" w:rsidTr="00C12A67">
        <w:trPr>
          <w:trHeight w:val="240"/>
          <w:jc w:val="center"/>
        </w:trPr>
        <w:tc>
          <w:tcPr>
            <w:tcW w:w="9714" w:type="dxa"/>
            <w:gridSpan w:val="3"/>
            <w:tcBorders>
              <w:top w:val="nil"/>
              <w:left w:val="nil"/>
              <w:bottom w:val="nil"/>
              <w:right w:val="nil"/>
            </w:tcBorders>
            <w:shd w:val="clear" w:color="000000" w:fill="FFFFFF"/>
            <w:vAlign w:val="center"/>
            <w:hideMark/>
          </w:tcPr>
          <w:p w:rsidR="006520E3" w:rsidRPr="00B97E8C" w:rsidRDefault="006520E3" w:rsidP="00137283">
            <w:pPr>
              <w:rPr>
                <w:rFonts w:ascii="Arial" w:hAnsi="Arial" w:cs="Arial"/>
                <w:b/>
                <w:bCs/>
                <w:color w:val="000000"/>
                <w:sz w:val="17"/>
                <w:szCs w:val="17"/>
              </w:rPr>
            </w:pPr>
            <w:r w:rsidRPr="00B97E8C">
              <w:rPr>
                <w:rFonts w:ascii="Arial" w:hAnsi="Arial" w:cs="Arial"/>
                <w:b/>
                <w:bCs/>
                <w:color w:val="000000"/>
                <w:sz w:val="17"/>
                <w:szCs w:val="17"/>
              </w:rPr>
              <w:lastRenderedPageBreak/>
              <w:t>B. Conciliación entre los Egresos Presupuestarios y los Gastos Contables:</w:t>
            </w:r>
          </w:p>
        </w:tc>
      </w:tr>
      <w:tr w:rsidR="006520E3" w:rsidRPr="00C37B0C" w:rsidTr="00C12A67">
        <w:trPr>
          <w:trHeight w:val="240"/>
          <w:jc w:val="center"/>
        </w:trPr>
        <w:tc>
          <w:tcPr>
            <w:tcW w:w="5665" w:type="dxa"/>
            <w:tcBorders>
              <w:top w:val="nil"/>
              <w:left w:val="nil"/>
              <w:bottom w:val="nil"/>
              <w:right w:val="nil"/>
            </w:tcBorders>
            <w:shd w:val="clear" w:color="000000" w:fill="FFFFFF"/>
            <w:vAlign w:val="center"/>
          </w:tcPr>
          <w:p w:rsidR="006520E3" w:rsidRPr="00C37B0C" w:rsidRDefault="006520E3" w:rsidP="00137283">
            <w:pPr>
              <w:rPr>
                <w:rFonts w:ascii="Arial" w:hAnsi="Arial" w:cs="Arial"/>
                <w:b/>
                <w:bCs/>
                <w:color w:val="000000"/>
                <w:sz w:val="17"/>
                <w:szCs w:val="17"/>
              </w:rPr>
            </w:pPr>
          </w:p>
        </w:tc>
        <w:tc>
          <w:tcPr>
            <w:tcW w:w="2126" w:type="dxa"/>
            <w:tcBorders>
              <w:top w:val="nil"/>
              <w:left w:val="nil"/>
              <w:bottom w:val="nil"/>
              <w:right w:val="nil"/>
            </w:tcBorders>
            <w:shd w:val="clear" w:color="000000" w:fill="FFFFFF"/>
            <w:vAlign w:val="center"/>
          </w:tcPr>
          <w:p w:rsidR="006520E3" w:rsidRPr="00C37B0C" w:rsidRDefault="006520E3" w:rsidP="00137283">
            <w:pPr>
              <w:rPr>
                <w:rFonts w:ascii="Arial" w:hAnsi="Arial" w:cs="Arial"/>
                <w:b/>
                <w:bCs/>
                <w:color w:val="000000"/>
                <w:sz w:val="17"/>
                <w:szCs w:val="17"/>
              </w:rPr>
            </w:pPr>
          </w:p>
        </w:tc>
        <w:tc>
          <w:tcPr>
            <w:tcW w:w="1923" w:type="dxa"/>
            <w:tcBorders>
              <w:top w:val="nil"/>
              <w:left w:val="nil"/>
              <w:bottom w:val="nil"/>
              <w:right w:val="nil"/>
            </w:tcBorders>
            <w:shd w:val="clear" w:color="000000" w:fill="FFFFFF"/>
            <w:vAlign w:val="center"/>
          </w:tcPr>
          <w:p w:rsidR="006520E3" w:rsidRPr="00C37B0C" w:rsidRDefault="006520E3" w:rsidP="00137283">
            <w:pPr>
              <w:rPr>
                <w:rFonts w:ascii="Arial" w:hAnsi="Arial" w:cs="Arial"/>
                <w:b/>
                <w:bCs/>
                <w:color w:val="000000"/>
                <w:sz w:val="17"/>
                <w:szCs w:val="17"/>
              </w:rPr>
            </w:pPr>
          </w:p>
        </w:tc>
      </w:tr>
      <w:tr w:rsidR="006520E3" w:rsidRPr="00B17AAA" w:rsidTr="00C12A67">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1. Total de Egresos Presupuestarios</w:t>
            </w:r>
          </w:p>
        </w:tc>
        <w:tc>
          <w:tcPr>
            <w:tcW w:w="2126"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6520E3" w:rsidP="00137283">
            <w:pPr>
              <w:jc w:val="center"/>
              <w:rPr>
                <w:rFonts w:ascii="Arial" w:hAnsi="Arial" w:cs="Arial"/>
                <w:b/>
                <w:bCs/>
                <w:color w:val="000000"/>
                <w:sz w:val="17"/>
                <w:szCs w:val="17"/>
              </w:rPr>
            </w:pPr>
            <w:r w:rsidRPr="00B17AAA">
              <w:rPr>
                <w:rFonts w:ascii="Arial" w:hAnsi="Arial" w:cs="Arial"/>
                <w:b/>
                <w:bCs/>
                <w:color w:val="000000"/>
                <w:sz w:val="17"/>
                <w:szCs w:val="17"/>
              </w:rPr>
              <w:t> </w:t>
            </w:r>
          </w:p>
        </w:tc>
        <w:tc>
          <w:tcPr>
            <w:tcW w:w="1923"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C12A67" w:rsidP="00137283">
            <w:pPr>
              <w:jc w:val="right"/>
              <w:rPr>
                <w:rFonts w:ascii="Arial" w:hAnsi="Arial" w:cs="Arial"/>
                <w:b/>
                <w:bCs/>
                <w:color w:val="000000"/>
                <w:sz w:val="16"/>
                <w:szCs w:val="16"/>
              </w:rPr>
            </w:pPr>
            <w:r w:rsidRPr="00C12A67">
              <w:rPr>
                <w:rFonts w:ascii="Arial" w:hAnsi="Arial" w:cs="Arial"/>
                <w:b/>
                <w:bCs/>
                <w:color w:val="000000"/>
                <w:sz w:val="16"/>
                <w:szCs w:val="16"/>
              </w:rPr>
              <w:t>38,272,397,756</w:t>
            </w:r>
          </w:p>
        </w:tc>
      </w:tr>
      <w:tr w:rsidR="006520E3" w:rsidRPr="00B17AAA" w:rsidTr="00C12A67">
        <w:trPr>
          <w:trHeight w:val="240"/>
          <w:jc w:val="center"/>
        </w:trPr>
        <w:tc>
          <w:tcPr>
            <w:tcW w:w="5665" w:type="dxa"/>
            <w:tcBorders>
              <w:top w:val="nil"/>
              <w:left w:val="nil"/>
              <w:bottom w:val="nil"/>
              <w:right w:val="nil"/>
            </w:tcBorders>
            <w:shd w:val="clear" w:color="000000" w:fill="FFFFFF"/>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 </w:t>
            </w:r>
          </w:p>
        </w:tc>
        <w:tc>
          <w:tcPr>
            <w:tcW w:w="2126" w:type="dxa"/>
            <w:tcBorders>
              <w:top w:val="nil"/>
              <w:left w:val="nil"/>
              <w:bottom w:val="nil"/>
              <w:right w:val="nil"/>
            </w:tcBorders>
            <w:shd w:val="clear" w:color="000000" w:fill="FFFFFF"/>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 </w:t>
            </w:r>
          </w:p>
        </w:tc>
        <w:tc>
          <w:tcPr>
            <w:tcW w:w="1923" w:type="dxa"/>
            <w:tcBorders>
              <w:top w:val="nil"/>
              <w:left w:val="nil"/>
              <w:bottom w:val="nil"/>
              <w:right w:val="nil"/>
            </w:tcBorders>
            <w:shd w:val="clear" w:color="000000" w:fill="FFFFFF"/>
            <w:vAlign w:val="center"/>
            <w:hideMark/>
          </w:tcPr>
          <w:p w:rsidR="006520E3" w:rsidRPr="00B17AAA" w:rsidRDefault="006520E3" w:rsidP="00137283">
            <w:pPr>
              <w:rPr>
                <w:rFonts w:ascii="Arial" w:hAnsi="Arial" w:cs="Arial"/>
                <w:b/>
                <w:bCs/>
                <w:color w:val="000000"/>
                <w:sz w:val="17"/>
                <w:szCs w:val="17"/>
              </w:rPr>
            </w:pPr>
            <w:r w:rsidRPr="00B17AAA">
              <w:rPr>
                <w:rFonts w:ascii="Arial" w:hAnsi="Arial" w:cs="Arial"/>
                <w:b/>
                <w:bCs/>
                <w:color w:val="000000"/>
                <w:sz w:val="17"/>
                <w:szCs w:val="17"/>
              </w:rPr>
              <w:t> </w:t>
            </w:r>
          </w:p>
        </w:tc>
      </w:tr>
      <w:tr w:rsidR="00C12A67" w:rsidRPr="006651DE" w:rsidTr="00C12A67">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12A67" w:rsidRPr="008F146F" w:rsidRDefault="00C12A67" w:rsidP="00C12A67">
            <w:pPr>
              <w:rPr>
                <w:rFonts w:ascii="Arial" w:hAnsi="Arial" w:cs="Arial"/>
                <w:b/>
                <w:bCs/>
                <w:color w:val="000000"/>
                <w:sz w:val="17"/>
                <w:szCs w:val="17"/>
              </w:rPr>
            </w:pPr>
            <w:r w:rsidRPr="008F146F">
              <w:rPr>
                <w:rFonts w:ascii="Arial" w:hAnsi="Arial" w:cs="Arial"/>
                <w:b/>
                <w:bCs/>
                <w:color w:val="000000"/>
                <w:sz w:val="17"/>
                <w:szCs w:val="17"/>
              </w:rPr>
              <w:t>2.</w:t>
            </w:r>
            <w:r>
              <w:rPr>
                <w:rFonts w:ascii="Arial" w:hAnsi="Arial" w:cs="Arial"/>
                <w:b/>
                <w:bCs/>
                <w:color w:val="000000"/>
                <w:sz w:val="17"/>
                <w:szCs w:val="17"/>
              </w:rPr>
              <w:t xml:space="preserve"> Menos Egresos Presupuestarios N</w:t>
            </w:r>
            <w:r w:rsidRPr="008F146F">
              <w:rPr>
                <w:rFonts w:ascii="Arial" w:hAnsi="Arial" w:cs="Arial"/>
                <w:b/>
                <w:bCs/>
                <w:color w:val="000000"/>
                <w:sz w:val="17"/>
                <w:szCs w:val="17"/>
              </w:rPr>
              <w:t>o Contables</w:t>
            </w:r>
          </w:p>
        </w:tc>
        <w:tc>
          <w:tcPr>
            <w:tcW w:w="2126" w:type="dxa"/>
            <w:tcBorders>
              <w:top w:val="single" w:sz="4" w:space="0" w:color="auto"/>
              <w:left w:val="nil"/>
              <w:bottom w:val="single" w:sz="4" w:space="0" w:color="auto"/>
              <w:right w:val="single" w:sz="4" w:space="0" w:color="auto"/>
            </w:tcBorders>
            <w:shd w:val="clear" w:color="auto" w:fill="D5DCE4"/>
            <w:hideMark/>
          </w:tcPr>
          <w:p w:rsidR="00C12A67" w:rsidRPr="00C663DD" w:rsidRDefault="00C12A67" w:rsidP="00C12A67"/>
        </w:tc>
        <w:tc>
          <w:tcPr>
            <w:tcW w:w="1923" w:type="dxa"/>
            <w:tcBorders>
              <w:top w:val="single" w:sz="4" w:space="0" w:color="auto"/>
              <w:left w:val="nil"/>
              <w:bottom w:val="single" w:sz="4" w:space="0" w:color="auto"/>
              <w:right w:val="single" w:sz="4" w:space="0" w:color="auto"/>
            </w:tcBorders>
            <w:shd w:val="clear" w:color="auto" w:fill="D5DCE4"/>
            <w:hideMark/>
          </w:tcPr>
          <w:p w:rsidR="00C12A67" w:rsidRPr="00C12A67" w:rsidRDefault="00C12A67" w:rsidP="00C12A67">
            <w:pPr>
              <w:jc w:val="right"/>
            </w:pPr>
            <w:r w:rsidRPr="00C12A67">
              <w:rPr>
                <w:rFonts w:ascii="Arial" w:hAnsi="Arial" w:cs="Arial"/>
                <w:bCs/>
                <w:color w:val="000000"/>
                <w:sz w:val="16"/>
                <w:szCs w:val="16"/>
              </w:rPr>
              <w:t xml:space="preserve"> 1,394,724,951</w:t>
            </w:r>
            <w:r w:rsidRPr="00C12A67">
              <w:t xml:space="preserve"> </w:t>
            </w: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 </w:t>
            </w:r>
            <w:r w:rsidRPr="00C37B0C">
              <w:rPr>
                <w:rFonts w:ascii="Arial" w:hAnsi="Arial" w:cs="Arial"/>
                <w:color w:val="000000"/>
                <w:sz w:val="17"/>
                <w:szCs w:val="17"/>
              </w:rPr>
              <w:t>Materias Primas y Materiales de Producción y Comercialización</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2.2 </w:t>
            </w:r>
            <w:r w:rsidRPr="00C37B0C">
              <w:rPr>
                <w:rFonts w:ascii="Arial" w:hAnsi="Arial" w:cs="Arial"/>
                <w:color w:val="000000"/>
                <w:sz w:val="17"/>
                <w:szCs w:val="17"/>
              </w:rPr>
              <w:t>Materiales y Suministros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3,873,983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2.3 </w:t>
            </w:r>
            <w:r w:rsidRPr="00C37B0C">
              <w:rPr>
                <w:rFonts w:ascii="Arial" w:hAnsi="Arial" w:cs="Arial"/>
                <w:color w:val="000000"/>
                <w:sz w:val="17"/>
                <w:szCs w:val="17"/>
              </w:rPr>
              <w:t>Mobiliario y Equipo de Administración</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41,031,641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126"/>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2.4 </w:t>
            </w:r>
            <w:r w:rsidRPr="00C37B0C">
              <w:rPr>
                <w:rFonts w:ascii="Arial" w:hAnsi="Arial" w:cs="Arial"/>
                <w:color w:val="000000"/>
                <w:sz w:val="17"/>
                <w:szCs w:val="17"/>
              </w:rPr>
              <w:t>Mobiliario y Equipo Educacional y Recreativo</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7,130,357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2.5 </w:t>
            </w:r>
            <w:r w:rsidRPr="00C37B0C">
              <w:rPr>
                <w:rFonts w:ascii="Arial" w:hAnsi="Arial" w:cs="Arial"/>
                <w:color w:val="000000"/>
                <w:sz w:val="17"/>
                <w:szCs w:val="17"/>
              </w:rPr>
              <w:t>Equipo e Instrumental Médico y de Laboratorio</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206,944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2.6 </w:t>
            </w:r>
            <w:r w:rsidRPr="00C37B0C">
              <w:rPr>
                <w:rFonts w:ascii="Arial" w:hAnsi="Arial" w:cs="Arial"/>
                <w:color w:val="000000"/>
                <w:sz w:val="17"/>
                <w:szCs w:val="17"/>
              </w:rPr>
              <w:t>Vehículos y Equipo de Transporte</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120,371,860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2.7 </w:t>
            </w:r>
            <w:r w:rsidRPr="00C37B0C">
              <w:rPr>
                <w:rFonts w:ascii="Arial" w:hAnsi="Arial" w:cs="Arial"/>
                <w:color w:val="000000"/>
                <w:sz w:val="17"/>
                <w:szCs w:val="17"/>
              </w:rPr>
              <w:t>Equipo de Defensa y Seguridad</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241,800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2.8 </w:t>
            </w:r>
            <w:r w:rsidRPr="00C37B0C">
              <w:rPr>
                <w:rFonts w:ascii="Arial" w:hAnsi="Arial" w:cs="Arial"/>
                <w:color w:val="000000"/>
                <w:sz w:val="17"/>
                <w:szCs w:val="17"/>
              </w:rPr>
              <w:t>Maquinaria, Otros Equipos y Herramientas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31,488,926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2.9 </w:t>
            </w:r>
            <w:r w:rsidRPr="00C37B0C">
              <w:rPr>
                <w:rFonts w:ascii="Arial" w:hAnsi="Arial" w:cs="Arial"/>
                <w:color w:val="000000"/>
                <w:sz w:val="17"/>
                <w:szCs w:val="17"/>
              </w:rPr>
              <w:t>Activos Biológicos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2.10 </w:t>
            </w:r>
            <w:r w:rsidRPr="00C37B0C">
              <w:rPr>
                <w:rFonts w:ascii="Arial" w:hAnsi="Arial" w:cs="Arial"/>
                <w:color w:val="000000"/>
                <w:sz w:val="17"/>
                <w:szCs w:val="17"/>
              </w:rPr>
              <w:t>Bienes Inmuebles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2.11 </w:t>
            </w:r>
            <w:r w:rsidRPr="00C37B0C">
              <w:rPr>
                <w:rFonts w:ascii="Arial" w:hAnsi="Arial" w:cs="Arial"/>
                <w:color w:val="000000"/>
                <w:sz w:val="17"/>
                <w:szCs w:val="17"/>
              </w:rPr>
              <w:t>Activos Intangibles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9,548,768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2.12 </w:t>
            </w:r>
            <w:r w:rsidRPr="00C37B0C">
              <w:rPr>
                <w:rFonts w:ascii="Arial" w:hAnsi="Arial" w:cs="Arial"/>
                <w:color w:val="000000"/>
                <w:sz w:val="17"/>
                <w:szCs w:val="17"/>
              </w:rPr>
              <w:t>Obra Pública en Bienes de Dominio Público</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544,978,174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2.13 </w:t>
            </w:r>
            <w:r w:rsidRPr="00C37B0C">
              <w:rPr>
                <w:rFonts w:ascii="Arial" w:hAnsi="Arial" w:cs="Arial"/>
                <w:color w:val="000000"/>
                <w:sz w:val="17"/>
                <w:szCs w:val="17"/>
              </w:rPr>
              <w:t>Obra Pública en Bienes Propios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2.14 </w:t>
            </w:r>
            <w:r w:rsidRPr="00C37B0C">
              <w:rPr>
                <w:rFonts w:ascii="Arial" w:hAnsi="Arial" w:cs="Arial"/>
                <w:color w:val="000000"/>
                <w:sz w:val="17"/>
                <w:szCs w:val="17"/>
              </w:rPr>
              <w:t>Acciones y Participaciones de Capital</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2.15 </w:t>
            </w:r>
            <w:r w:rsidRPr="00C37B0C">
              <w:rPr>
                <w:rFonts w:ascii="Arial" w:hAnsi="Arial" w:cs="Arial"/>
                <w:color w:val="000000"/>
                <w:sz w:val="17"/>
                <w:szCs w:val="17"/>
              </w:rPr>
              <w:t>Compra de Títulos y Valores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2.16 </w:t>
            </w:r>
            <w:r w:rsidRPr="00C37B0C">
              <w:rPr>
                <w:rFonts w:ascii="Arial" w:hAnsi="Arial" w:cs="Arial"/>
                <w:color w:val="000000"/>
                <w:sz w:val="17"/>
                <w:szCs w:val="17"/>
              </w:rPr>
              <w:t>Concesión de Préstamos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8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2.17 </w:t>
            </w:r>
            <w:r w:rsidRPr="00C37B0C">
              <w:rPr>
                <w:rFonts w:ascii="Arial" w:hAnsi="Arial" w:cs="Arial"/>
                <w:color w:val="000000"/>
                <w:sz w:val="17"/>
                <w:szCs w:val="17"/>
              </w:rPr>
              <w:t>Inversiones en Fideicomisos, Mandatos y Otros Análogos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167,211,111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2.18 </w:t>
            </w:r>
            <w:r w:rsidRPr="00C37B0C">
              <w:rPr>
                <w:rFonts w:ascii="Arial" w:hAnsi="Arial" w:cs="Arial"/>
                <w:color w:val="000000"/>
                <w:sz w:val="17"/>
                <w:szCs w:val="17"/>
              </w:rPr>
              <w:t>Provisiones para Contingencias y Otras Erogaciones Especiales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200,369,978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2.19 </w:t>
            </w:r>
            <w:r w:rsidRPr="00C37B0C">
              <w:rPr>
                <w:rFonts w:ascii="Arial" w:hAnsi="Arial" w:cs="Arial"/>
                <w:color w:val="000000"/>
                <w:sz w:val="17"/>
                <w:szCs w:val="17"/>
              </w:rPr>
              <w:t>Amortización de la Deuda Pública</w:t>
            </w:r>
          </w:p>
        </w:tc>
        <w:tc>
          <w:tcPr>
            <w:tcW w:w="2126" w:type="dxa"/>
            <w:tcBorders>
              <w:top w:val="nil"/>
              <w:left w:val="nil"/>
              <w:bottom w:val="single" w:sz="4" w:space="0" w:color="auto"/>
              <w:right w:val="single" w:sz="4" w:space="0" w:color="auto"/>
            </w:tcBorders>
            <w:shd w:val="clear" w:color="auto" w:fill="auto"/>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267,329,434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2.20 </w:t>
            </w:r>
            <w:r w:rsidRPr="00C37B0C">
              <w:rPr>
                <w:rFonts w:ascii="Arial" w:hAnsi="Arial" w:cs="Arial"/>
                <w:color w:val="000000"/>
                <w:sz w:val="17"/>
                <w:szCs w:val="17"/>
              </w:rPr>
              <w:t>Adeudos de Ejercicios Fiscales Anteriores (ADEFAS)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2.21 </w:t>
            </w:r>
            <w:r w:rsidRPr="00C37B0C">
              <w:rPr>
                <w:rFonts w:ascii="Arial" w:hAnsi="Arial" w:cs="Arial"/>
                <w:color w:val="000000"/>
                <w:sz w:val="17"/>
                <w:szCs w:val="17"/>
              </w:rPr>
              <w:t>Otros Egresos Presupuestarios No Contables</w:t>
            </w:r>
          </w:p>
        </w:tc>
        <w:tc>
          <w:tcPr>
            <w:tcW w:w="2126" w:type="dxa"/>
            <w:tcBorders>
              <w:top w:val="nil"/>
              <w:left w:val="nil"/>
              <w:bottom w:val="single" w:sz="4" w:space="0" w:color="auto"/>
              <w:right w:val="single" w:sz="4" w:space="0" w:color="auto"/>
            </w:tcBorders>
            <w:shd w:val="clear" w:color="000000" w:fill="FFFFFF"/>
          </w:tcPr>
          <w:p w:rsidR="00C12A67" w:rsidRPr="00507062" w:rsidRDefault="00C12A67" w:rsidP="00C12A67">
            <w:pPr>
              <w:jc w:val="right"/>
              <w:rPr>
                <w:rFonts w:ascii="Arial" w:hAnsi="Arial" w:cs="Arial"/>
                <w:bCs/>
                <w:color w:val="000000"/>
                <w:sz w:val="17"/>
                <w:szCs w:val="17"/>
                <w:highlight w:val="red"/>
              </w:rPr>
            </w:pPr>
            <w:r w:rsidRPr="00292AEC">
              <w:rPr>
                <w:rFonts w:ascii="Arial" w:hAnsi="Arial" w:cs="Arial"/>
                <w:bCs/>
                <w:color w:val="000000"/>
                <w:sz w:val="17"/>
                <w:szCs w:val="17"/>
              </w:rPr>
              <w:t xml:space="preserve"> 941,975 </w:t>
            </w:r>
          </w:p>
        </w:tc>
        <w:tc>
          <w:tcPr>
            <w:tcW w:w="1923" w:type="dxa"/>
            <w:tcBorders>
              <w:top w:val="nil"/>
              <w:left w:val="nil"/>
              <w:bottom w:val="single" w:sz="4" w:space="0" w:color="auto"/>
              <w:right w:val="single" w:sz="4" w:space="0" w:color="auto"/>
            </w:tcBorders>
            <w:shd w:val="clear" w:color="000000" w:fill="FFFFFF"/>
            <w:hideMark/>
          </w:tcPr>
          <w:p w:rsidR="00C12A67" w:rsidRPr="00C12A67" w:rsidRDefault="00C12A67" w:rsidP="00C12A67">
            <w:pPr>
              <w:jc w:val="right"/>
              <w:rPr>
                <w:rFonts w:ascii="Arial" w:hAnsi="Arial" w:cs="Arial"/>
                <w:bCs/>
                <w:color w:val="000000"/>
                <w:sz w:val="17"/>
                <w:szCs w:val="17"/>
              </w:rPr>
            </w:pPr>
          </w:p>
        </w:tc>
      </w:tr>
      <w:tr w:rsidR="006520E3" w:rsidRPr="006651DE" w:rsidTr="00C12A67">
        <w:trPr>
          <w:trHeight w:val="240"/>
          <w:jc w:val="center"/>
        </w:trPr>
        <w:tc>
          <w:tcPr>
            <w:tcW w:w="5665" w:type="dxa"/>
            <w:tcBorders>
              <w:top w:val="nil"/>
              <w:left w:val="nil"/>
              <w:bottom w:val="nil"/>
              <w:right w:val="nil"/>
            </w:tcBorders>
            <w:shd w:val="clear" w:color="000000" w:fill="FFFFFF"/>
            <w:vAlign w:val="center"/>
            <w:hideMark/>
          </w:tcPr>
          <w:p w:rsidR="006520E3" w:rsidRPr="00C37B0C" w:rsidRDefault="006520E3" w:rsidP="00137283">
            <w:pPr>
              <w:jc w:val="center"/>
              <w:rPr>
                <w:rFonts w:ascii="Arial" w:hAnsi="Arial" w:cs="Arial"/>
                <w:color w:val="000000"/>
                <w:sz w:val="17"/>
                <w:szCs w:val="17"/>
              </w:rPr>
            </w:pPr>
            <w:r w:rsidRPr="00C37B0C">
              <w:rPr>
                <w:rFonts w:ascii="Arial" w:hAnsi="Arial" w:cs="Arial"/>
                <w:color w:val="000000"/>
                <w:sz w:val="17"/>
                <w:szCs w:val="17"/>
              </w:rPr>
              <w:t> </w:t>
            </w:r>
          </w:p>
        </w:tc>
        <w:tc>
          <w:tcPr>
            <w:tcW w:w="2126" w:type="dxa"/>
            <w:tcBorders>
              <w:top w:val="nil"/>
              <w:left w:val="nil"/>
              <w:bottom w:val="nil"/>
              <w:right w:val="nil"/>
            </w:tcBorders>
            <w:shd w:val="clear" w:color="000000" w:fill="FFFFFF"/>
            <w:vAlign w:val="center"/>
            <w:hideMark/>
          </w:tcPr>
          <w:p w:rsidR="006520E3" w:rsidRPr="00C12A67" w:rsidRDefault="006520E3" w:rsidP="00137283">
            <w:pPr>
              <w:jc w:val="center"/>
              <w:rPr>
                <w:rFonts w:ascii="Arial" w:hAnsi="Arial" w:cs="Arial"/>
                <w:color w:val="000000"/>
                <w:sz w:val="17"/>
                <w:szCs w:val="17"/>
              </w:rPr>
            </w:pPr>
            <w:r w:rsidRPr="00C12A67">
              <w:rPr>
                <w:rFonts w:ascii="Arial" w:hAnsi="Arial" w:cs="Arial"/>
                <w:color w:val="000000"/>
                <w:sz w:val="17"/>
                <w:szCs w:val="17"/>
              </w:rPr>
              <w:t> </w:t>
            </w:r>
          </w:p>
        </w:tc>
        <w:tc>
          <w:tcPr>
            <w:tcW w:w="1923" w:type="dxa"/>
            <w:tcBorders>
              <w:top w:val="nil"/>
              <w:left w:val="nil"/>
              <w:bottom w:val="nil"/>
              <w:right w:val="nil"/>
            </w:tcBorders>
            <w:shd w:val="clear" w:color="000000" w:fill="FFFFFF"/>
            <w:vAlign w:val="center"/>
            <w:hideMark/>
          </w:tcPr>
          <w:p w:rsidR="006520E3" w:rsidRPr="00C12A67" w:rsidRDefault="006520E3" w:rsidP="00137283">
            <w:pPr>
              <w:jc w:val="center"/>
              <w:rPr>
                <w:rFonts w:ascii="Arial" w:hAnsi="Arial" w:cs="Arial"/>
                <w:color w:val="000000"/>
                <w:sz w:val="17"/>
                <w:szCs w:val="17"/>
              </w:rPr>
            </w:pPr>
            <w:r w:rsidRPr="00C12A67">
              <w:rPr>
                <w:rFonts w:ascii="Arial" w:hAnsi="Arial" w:cs="Arial"/>
                <w:color w:val="000000"/>
                <w:sz w:val="17"/>
                <w:szCs w:val="17"/>
              </w:rPr>
              <w:t> </w:t>
            </w:r>
          </w:p>
        </w:tc>
      </w:tr>
      <w:tr w:rsidR="00C12A67" w:rsidRPr="006651DE" w:rsidTr="00C12A67">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C12A67" w:rsidRPr="00C37B0C" w:rsidRDefault="00C12A67" w:rsidP="00C12A67">
            <w:pPr>
              <w:rPr>
                <w:rFonts w:ascii="Arial" w:hAnsi="Arial" w:cs="Arial"/>
                <w:b/>
                <w:bCs/>
                <w:color w:val="000000"/>
                <w:sz w:val="17"/>
                <w:szCs w:val="17"/>
              </w:rPr>
            </w:pPr>
            <w:r w:rsidRPr="00C37B0C">
              <w:rPr>
                <w:rFonts w:ascii="Arial" w:hAnsi="Arial" w:cs="Arial"/>
                <w:b/>
                <w:bCs/>
                <w:color w:val="000000"/>
                <w:sz w:val="17"/>
                <w:szCs w:val="17"/>
              </w:rPr>
              <w:t>3. Más Gasto Contables No Presupuesta</w:t>
            </w:r>
            <w:r>
              <w:rPr>
                <w:rFonts w:ascii="Arial" w:hAnsi="Arial" w:cs="Arial"/>
                <w:b/>
                <w:bCs/>
                <w:color w:val="000000"/>
                <w:sz w:val="17"/>
                <w:szCs w:val="17"/>
              </w:rPr>
              <w:t>rios</w:t>
            </w:r>
          </w:p>
        </w:tc>
        <w:tc>
          <w:tcPr>
            <w:tcW w:w="2126" w:type="dxa"/>
            <w:tcBorders>
              <w:top w:val="single" w:sz="4" w:space="0" w:color="auto"/>
              <w:left w:val="nil"/>
              <w:bottom w:val="single" w:sz="4" w:space="0" w:color="auto"/>
              <w:right w:val="single" w:sz="4" w:space="0" w:color="auto"/>
            </w:tcBorders>
            <w:shd w:val="clear" w:color="auto" w:fill="D5DCE4"/>
            <w:hideMark/>
          </w:tcPr>
          <w:p w:rsidR="00C12A67" w:rsidRPr="00564046" w:rsidRDefault="00C12A67" w:rsidP="00C12A67"/>
        </w:tc>
        <w:tc>
          <w:tcPr>
            <w:tcW w:w="1923" w:type="dxa"/>
            <w:tcBorders>
              <w:top w:val="single" w:sz="4" w:space="0" w:color="auto"/>
              <w:left w:val="nil"/>
              <w:bottom w:val="single" w:sz="4" w:space="0" w:color="auto"/>
              <w:right w:val="single" w:sz="4" w:space="0" w:color="auto"/>
            </w:tcBorders>
            <w:shd w:val="clear" w:color="auto" w:fill="D5DCE4"/>
            <w:hideMark/>
          </w:tcPr>
          <w:p w:rsidR="00C12A67" w:rsidRPr="00C12A67" w:rsidRDefault="00EA0147" w:rsidP="00C12A67">
            <w:pPr>
              <w:jc w:val="right"/>
            </w:pPr>
            <w:r>
              <w:rPr>
                <w:rFonts w:ascii="Arial" w:hAnsi="Arial" w:cs="Arial"/>
                <w:bCs/>
                <w:color w:val="000000"/>
                <w:sz w:val="17"/>
                <w:szCs w:val="17"/>
              </w:rPr>
              <w:t>1,759,191,872</w:t>
            </w:r>
            <w:r w:rsidR="00C12A67" w:rsidRPr="00C12A67">
              <w:t xml:space="preserve"> </w:t>
            </w:r>
          </w:p>
        </w:tc>
      </w:tr>
      <w:tr w:rsidR="00C12A67" w:rsidRPr="006651DE" w:rsidTr="00C12A67">
        <w:trPr>
          <w:trHeight w:val="217"/>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3.1 </w:t>
            </w:r>
            <w:r w:rsidRPr="00C37B0C">
              <w:rPr>
                <w:rFonts w:ascii="Arial" w:hAnsi="Arial" w:cs="Arial"/>
                <w:color w:val="000000"/>
                <w:sz w:val="17"/>
                <w:szCs w:val="17"/>
              </w:rPr>
              <w:t>Estimaciones, Depreciaciones, Deterioros, Obsolescencia y Amortizaciones</w:t>
            </w:r>
          </w:p>
        </w:tc>
        <w:tc>
          <w:tcPr>
            <w:tcW w:w="2126" w:type="dxa"/>
            <w:tcBorders>
              <w:top w:val="nil"/>
              <w:left w:val="nil"/>
              <w:bottom w:val="single" w:sz="4" w:space="0" w:color="auto"/>
              <w:right w:val="single" w:sz="4" w:space="0" w:color="auto"/>
            </w:tcBorders>
            <w:shd w:val="clear" w:color="000000" w:fill="FFFFFF"/>
          </w:tcPr>
          <w:p w:rsidR="00C12A67" w:rsidRPr="00C12A67" w:rsidRDefault="00C12A67" w:rsidP="00C12A67">
            <w:pPr>
              <w:jc w:val="right"/>
              <w:rPr>
                <w:rFonts w:ascii="Arial" w:hAnsi="Arial" w:cs="Arial"/>
                <w:bCs/>
                <w:color w:val="000000"/>
                <w:sz w:val="17"/>
                <w:szCs w:val="17"/>
              </w:rPr>
            </w:pPr>
            <w:r w:rsidRPr="00C12A67">
              <w:rPr>
                <w:rFonts w:ascii="Arial" w:hAnsi="Arial" w:cs="Arial"/>
                <w:bCs/>
                <w:color w:val="000000"/>
                <w:sz w:val="17"/>
                <w:szCs w:val="17"/>
              </w:rPr>
              <w:t xml:space="preserve"> 256,932,058 </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9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3.2 </w:t>
            </w:r>
            <w:r w:rsidRPr="00C37B0C">
              <w:rPr>
                <w:rFonts w:ascii="Arial" w:hAnsi="Arial" w:cs="Arial"/>
                <w:color w:val="000000"/>
                <w:sz w:val="17"/>
                <w:szCs w:val="17"/>
              </w:rPr>
              <w:t>Provisiones</w:t>
            </w:r>
          </w:p>
        </w:tc>
        <w:tc>
          <w:tcPr>
            <w:tcW w:w="2126" w:type="dxa"/>
            <w:tcBorders>
              <w:top w:val="nil"/>
              <w:left w:val="nil"/>
              <w:bottom w:val="single" w:sz="4" w:space="0" w:color="auto"/>
              <w:right w:val="single" w:sz="4" w:space="0" w:color="auto"/>
            </w:tcBorders>
            <w:shd w:val="clear" w:color="000000" w:fill="FFFFFF"/>
          </w:tcPr>
          <w:p w:rsidR="00C12A67" w:rsidRPr="00C12A67" w:rsidRDefault="00941B09" w:rsidP="00C12A67">
            <w:pPr>
              <w:jc w:val="right"/>
              <w:rPr>
                <w:rFonts w:ascii="Arial" w:hAnsi="Arial" w:cs="Arial"/>
                <w:bCs/>
                <w:color w:val="000000"/>
                <w:sz w:val="17"/>
                <w:szCs w:val="17"/>
              </w:rPr>
            </w:pPr>
            <w:r>
              <w:rPr>
                <w:rFonts w:ascii="Arial" w:hAnsi="Arial" w:cs="Arial"/>
                <w:bCs/>
                <w:color w:val="000000"/>
                <w:sz w:val="17"/>
                <w:szCs w:val="17"/>
              </w:rPr>
              <w:t>-</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53"/>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3.3 </w:t>
            </w:r>
            <w:r w:rsidRPr="00C37B0C">
              <w:rPr>
                <w:rFonts w:ascii="Arial" w:hAnsi="Arial" w:cs="Arial"/>
                <w:color w:val="000000"/>
                <w:sz w:val="17"/>
                <w:szCs w:val="17"/>
              </w:rPr>
              <w:t>Disminución de Inventarios</w:t>
            </w:r>
          </w:p>
        </w:tc>
        <w:tc>
          <w:tcPr>
            <w:tcW w:w="2126" w:type="dxa"/>
            <w:tcBorders>
              <w:top w:val="nil"/>
              <w:left w:val="nil"/>
              <w:bottom w:val="single" w:sz="4" w:space="0" w:color="auto"/>
              <w:right w:val="single" w:sz="4" w:space="0" w:color="auto"/>
            </w:tcBorders>
            <w:shd w:val="clear" w:color="000000" w:fill="FFFFFF"/>
          </w:tcPr>
          <w:p w:rsidR="00C12A67" w:rsidRPr="00C12A67" w:rsidRDefault="00EA0147" w:rsidP="00C12A67">
            <w:pPr>
              <w:jc w:val="right"/>
              <w:rPr>
                <w:rFonts w:ascii="Arial" w:hAnsi="Arial" w:cs="Arial"/>
                <w:bCs/>
                <w:color w:val="000000"/>
                <w:sz w:val="17"/>
                <w:szCs w:val="17"/>
              </w:rPr>
            </w:pPr>
            <w:r>
              <w:rPr>
                <w:rFonts w:ascii="Arial" w:hAnsi="Arial" w:cs="Arial"/>
                <w:bCs/>
                <w:color w:val="000000"/>
                <w:sz w:val="17"/>
                <w:szCs w:val="17"/>
              </w:rPr>
              <w:t>36,704</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301"/>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3.4 </w:t>
            </w:r>
            <w:r w:rsidRPr="00C37B0C">
              <w:rPr>
                <w:rFonts w:ascii="Arial" w:hAnsi="Arial" w:cs="Arial"/>
                <w:color w:val="000000"/>
                <w:sz w:val="17"/>
                <w:szCs w:val="17"/>
              </w:rPr>
              <w:t>Aumento por Insuficiencia de Estimaciones por Pérdida o Deterioro u Obsolescencia</w:t>
            </w:r>
          </w:p>
        </w:tc>
        <w:tc>
          <w:tcPr>
            <w:tcW w:w="2126" w:type="dxa"/>
            <w:tcBorders>
              <w:top w:val="nil"/>
              <w:left w:val="nil"/>
              <w:bottom w:val="single" w:sz="4" w:space="0" w:color="auto"/>
              <w:right w:val="single" w:sz="4" w:space="0" w:color="auto"/>
            </w:tcBorders>
            <w:shd w:val="clear" w:color="000000" w:fill="FFFFFF"/>
          </w:tcPr>
          <w:p w:rsidR="00C12A67" w:rsidRPr="00C12A67" w:rsidRDefault="00941B09" w:rsidP="00C12A67">
            <w:pPr>
              <w:jc w:val="right"/>
              <w:rPr>
                <w:rFonts w:ascii="Arial" w:hAnsi="Arial" w:cs="Arial"/>
                <w:bCs/>
                <w:color w:val="000000"/>
                <w:sz w:val="17"/>
                <w:szCs w:val="17"/>
              </w:rPr>
            </w:pPr>
            <w:r>
              <w:rPr>
                <w:rFonts w:ascii="Arial" w:hAnsi="Arial" w:cs="Arial"/>
                <w:bCs/>
                <w:color w:val="000000"/>
                <w:sz w:val="17"/>
                <w:szCs w:val="17"/>
              </w:rPr>
              <w:t>-</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13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3.5 </w:t>
            </w:r>
            <w:r w:rsidRPr="00C37B0C">
              <w:rPr>
                <w:rFonts w:ascii="Arial" w:hAnsi="Arial" w:cs="Arial"/>
                <w:color w:val="000000"/>
                <w:sz w:val="17"/>
                <w:szCs w:val="17"/>
              </w:rPr>
              <w:t>Aumento por Insuficiencia de Provisiones</w:t>
            </w:r>
          </w:p>
        </w:tc>
        <w:tc>
          <w:tcPr>
            <w:tcW w:w="2126" w:type="dxa"/>
            <w:tcBorders>
              <w:top w:val="nil"/>
              <w:left w:val="nil"/>
              <w:bottom w:val="single" w:sz="4" w:space="0" w:color="auto"/>
              <w:right w:val="single" w:sz="4" w:space="0" w:color="auto"/>
            </w:tcBorders>
            <w:shd w:val="clear" w:color="000000" w:fill="FFFFFF"/>
          </w:tcPr>
          <w:p w:rsidR="00C12A67" w:rsidRPr="00EA0147" w:rsidRDefault="00941B09" w:rsidP="00C12A67">
            <w:pPr>
              <w:jc w:val="right"/>
              <w:rPr>
                <w:rFonts w:ascii="Arial" w:hAnsi="Arial" w:cs="Arial"/>
                <w:bCs/>
                <w:color w:val="000000"/>
                <w:sz w:val="17"/>
                <w:szCs w:val="17"/>
              </w:rPr>
            </w:pPr>
            <w:r>
              <w:rPr>
                <w:rFonts w:ascii="Arial" w:hAnsi="Arial" w:cs="Arial"/>
                <w:bCs/>
                <w:color w:val="000000"/>
                <w:sz w:val="17"/>
                <w:szCs w:val="17"/>
              </w:rPr>
              <w:t>-</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3.6 </w:t>
            </w:r>
            <w:r w:rsidRPr="00C37B0C">
              <w:rPr>
                <w:rFonts w:ascii="Arial" w:hAnsi="Arial" w:cs="Arial"/>
                <w:color w:val="000000"/>
                <w:sz w:val="17"/>
                <w:szCs w:val="17"/>
              </w:rPr>
              <w:t>Otros Gastos</w:t>
            </w:r>
          </w:p>
        </w:tc>
        <w:tc>
          <w:tcPr>
            <w:tcW w:w="2126" w:type="dxa"/>
            <w:tcBorders>
              <w:top w:val="nil"/>
              <w:left w:val="nil"/>
              <w:bottom w:val="single" w:sz="4" w:space="0" w:color="auto"/>
              <w:right w:val="single" w:sz="4" w:space="0" w:color="auto"/>
            </w:tcBorders>
            <w:shd w:val="clear" w:color="000000" w:fill="FFFFFF"/>
          </w:tcPr>
          <w:p w:rsidR="00C12A67" w:rsidRPr="00EA0147" w:rsidRDefault="00EA0147" w:rsidP="00C12A67">
            <w:pPr>
              <w:jc w:val="right"/>
              <w:rPr>
                <w:rFonts w:ascii="Arial" w:hAnsi="Arial" w:cs="Arial"/>
                <w:bCs/>
                <w:color w:val="000000"/>
                <w:sz w:val="17"/>
                <w:szCs w:val="17"/>
              </w:rPr>
            </w:pPr>
            <w:r w:rsidRPr="00EA0147">
              <w:rPr>
                <w:rFonts w:ascii="Arial" w:hAnsi="Arial" w:cs="Arial"/>
                <w:bCs/>
                <w:color w:val="000000"/>
                <w:sz w:val="17"/>
                <w:szCs w:val="17"/>
              </w:rPr>
              <w:t>1,497,359,931</w:t>
            </w:r>
            <w:r w:rsidR="00C12A67" w:rsidRPr="00EA0147">
              <w:rPr>
                <w:rFonts w:ascii="Arial" w:hAnsi="Arial" w:cs="Arial"/>
                <w:bCs/>
                <w:color w:val="000000"/>
                <w:sz w:val="17"/>
                <w:szCs w:val="17"/>
              </w:rPr>
              <w:t xml:space="preserve"> </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C12A67" w:rsidRPr="006651DE" w:rsidTr="00C12A67">
        <w:trPr>
          <w:trHeight w:val="99"/>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C12A67" w:rsidRPr="00C37B0C" w:rsidRDefault="00C12A67" w:rsidP="00C12A67">
            <w:pPr>
              <w:ind w:firstLineChars="100" w:firstLine="170"/>
              <w:rPr>
                <w:rFonts w:ascii="Arial" w:hAnsi="Arial" w:cs="Arial"/>
                <w:color w:val="000000"/>
                <w:sz w:val="17"/>
                <w:szCs w:val="17"/>
              </w:rPr>
            </w:pPr>
            <w:r>
              <w:rPr>
                <w:rFonts w:ascii="Arial" w:hAnsi="Arial" w:cs="Arial"/>
                <w:color w:val="000000"/>
                <w:sz w:val="17"/>
                <w:szCs w:val="17"/>
              </w:rPr>
              <w:t xml:space="preserve">3.7 </w:t>
            </w:r>
            <w:r w:rsidRPr="00C37B0C">
              <w:rPr>
                <w:rFonts w:ascii="Arial" w:hAnsi="Arial" w:cs="Arial"/>
                <w:color w:val="000000"/>
                <w:sz w:val="17"/>
                <w:szCs w:val="17"/>
              </w:rPr>
              <w:t>Otros Gastos Contables No Presupuesta</w:t>
            </w:r>
            <w:r>
              <w:rPr>
                <w:rFonts w:ascii="Arial" w:hAnsi="Arial" w:cs="Arial"/>
                <w:color w:val="000000"/>
                <w:sz w:val="17"/>
                <w:szCs w:val="17"/>
              </w:rPr>
              <w:t>rios</w:t>
            </w:r>
          </w:p>
        </w:tc>
        <w:tc>
          <w:tcPr>
            <w:tcW w:w="2126" w:type="dxa"/>
            <w:tcBorders>
              <w:top w:val="nil"/>
              <w:left w:val="nil"/>
              <w:bottom w:val="single" w:sz="4" w:space="0" w:color="auto"/>
              <w:right w:val="single" w:sz="4" w:space="0" w:color="auto"/>
            </w:tcBorders>
            <w:shd w:val="clear" w:color="auto" w:fill="auto"/>
          </w:tcPr>
          <w:p w:rsidR="00C12A67" w:rsidRPr="00C12A67" w:rsidRDefault="00C12A67" w:rsidP="00EA0147">
            <w:pPr>
              <w:jc w:val="right"/>
              <w:rPr>
                <w:rFonts w:ascii="Arial" w:hAnsi="Arial" w:cs="Arial"/>
                <w:bCs/>
                <w:color w:val="000000"/>
                <w:sz w:val="17"/>
                <w:szCs w:val="17"/>
              </w:rPr>
            </w:pPr>
            <w:r w:rsidRPr="00C12A67">
              <w:rPr>
                <w:rFonts w:ascii="Arial" w:hAnsi="Arial" w:cs="Arial"/>
                <w:bCs/>
                <w:color w:val="000000"/>
                <w:sz w:val="17"/>
                <w:szCs w:val="17"/>
              </w:rPr>
              <w:t xml:space="preserve"> 4,</w:t>
            </w:r>
            <w:r w:rsidR="00EA0147">
              <w:rPr>
                <w:rFonts w:ascii="Arial" w:hAnsi="Arial" w:cs="Arial"/>
                <w:bCs/>
                <w:color w:val="000000"/>
                <w:sz w:val="17"/>
                <w:szCs w:val="17"/>
              </w:rPr>
              <w:t>863,180</w:t>
            </w:r>
          </w:p>
        </w:tc>
        <w:tc>
          <w:tcPr>
            <w:tcW w:w="1923" w:type="dxa"/>
            <w:tcBorders>
              <w:top w:val="nil"/>
              <w:left w:val="nil"/>
              <w:bottom w:val="single" w:sz="4" w:space="0" w:color="auto"/>
              <w:right w:val="single" w:sz="4" w:space="0" w:color="auto"/>
            </w:tcBorders>
            <w:shd w:val="clear" w:color="auto" w:fill="auto"/>
            <w:hideMark/>
          </w:tcPr>
          <w:p w:rsidR="00C12A67" w:rsidRPr="00C12A67" w:rsidRDefault="00C12A67" w:rsidP="00C12A67">
            <w:pPr>
              <w:jc w:val="right"/>
              <w:rPr>
                <w:rFonts w:ascii="Arial" w:hAnsi="Arial" w:cs="Arial"/>
                <w:bCs/>
                <w:color w:val="000000"/>
                <w:sz w:val="17"/>
                <w:szCs w:val="17"/>
              </w:rPr>
            </w:pPr>
          </w:p>
        </w:tc>
      </w:tr>
      <w:tr w:rsidR="006520E3" w:rsidRPr="00B17AAA" w:rsidTr="00C12A67">
        <w:trPr>
          <w:trHeight w:val="240"/>
          <w:jc w:val="center"/>
        </w:trPr>
        <w:tc>
          <w:tcPr>
            <w:tcW w:w="5665" w:type="dxa"/>
            <w:tcBorders>
              <w:top w:val="nil"/>
              <w:left w:val="nil"/>
              <w:bottom w:val="nil"/>
              <w:right w:val="nil"/>
            </w:tcBorders>
            <w:shd w:val="clear" w:color="000000" w:fill="FFFFFF"/>
            <w:vAlign w:val="center"/>
            <w:hideMark/>
          </w:tcPr>
          <w:p w:rsidR="006520E3" w:rsidRPr="00C37B0C" w:rsidRDefault="006520E3" w:rsidP="00137283">
            <w:pPr>
              <w:jc w:val="center"/>
              <w:rPr>
                <w:rFonts w:ascii="Arial" w:hAnsi="Arial" w:cs="Arial"/>
                <w:color w:val="000000"/>
                <w:sz w:val="17"/>
                <w:szCs w:val="17"/>
              </w:rPr>
            </w:pPr>
            <w:r w:rsidRPr="00C37B0C">
              <w:rPr>
                <w:rFonts w:ascii="Arial" w:hAnsi="Arial" w:cs="Arial"/>
                <w:color w:val="000000"/>
                <w:sz w:val="17"/>
                <w:szCs w:val="17"/>
              </w:rPr>
              <w:t> </w:t>
            </w:r>
          </w:p>
        </w:tc>
        <w:tc>
          <w:tcPr>
            <w:tcW w:w="2126" w:type="dxa"/>
            <w:tcBorders>
              <w:top w:val="nil"/>
              <w:left w:val="nil"/>
              <w:bottom w:val="nil"/>
              <w:right w:val="nil"/>
            </w:tcBorders>
            <w:shd w:val="clear" w:color="000000" w:fill="FFFFFF"/>
            <w:vAlign w:val="center"/>
            <w:hideMark/>
          </w:tcPr>
          <w:p w:rsidR="006520E3" w:rsidRPr="00B17AAA" w:rsidRDefault="006520E3" w:rsidP="00137283">
            <w:pPr>
              <w:jc w:val="center"/>
              <w:rPr>
                <w:rFonts w:ascii="Arial" w:hAnsi="Arial" w:cs="Arial"/>
                <w:color w:val="000000"/>
                <w:sz w:val="17"/>
                <w:szCs w:val="17"/>
              </w:rPr>
            </w:pPr>
            <w:r w:rsidRPr="00B17AAA">
              <w:rPr>
                <w:rFonts w:ascii="Arial" w:hAnsi="Arial" w:cs="Arial"/>
                <w:color w:val="000000"/>
                <w:sz w:val="17"/>
                <w:szCs w:val="17"/>
              </w:rPr>
              <w:t> </w:t>
            </w:r>
          </w:p>
        </w:tc>
        <w:tc>
          <w:tcPr>
            <w:tcW w:w="1923" w:type="dxa"/>
            <w:tcBorders>
              <w:top w:val="nil"/>
              <w:left w:val="nil"/>
              <w:bottom w:val="nil"/>
              <w:right w:val="nil"/>
            </w:tcBorders>
            <w:shd w:val="clear" w:color="000000" w:fill="FFFFFF"/>
            <w:vAlign w:val="center"/>
            <w:hideMark/>
          </w:tcPr>
          <w:p w:rsidR="006520E3" w:rsidRPr="00B17AAA" w:rsidRDefault="006520E3" w:rsidP="00137283">
            <w:pPr>
              <w:jc w:val="center"/>
              <w:rPr>
                <w:rFonts w:ascii="Arial" w:hAnsi="Arial" w:cs="Arial"/>
                <w:color w:val="000000"/>
                <w:sz w:val="17"/>
                <w:szCs w:val="17"/>
              </w:rPr>
            </w:pPr>
            <w:r w:rsidRPr="00B17AAA">
              <w:rPr>
                <w:rFonts w:ascii="Arial" w:hAnsi="Arial" w:cs="Arial"/>
                <w:color w:val="000000"/>
                <w:sz w:val="17"/>
                <w:szCs w:val="17"/>
              </w:rPr>
              <w:t> </w:t>
            </w:r>
          </w:p>
        </w:tc>
      </w:tr>
      <w:tr w:rsidR="006520E3" w:rsidRPr="00B17AAA" w:rsidTr="00C12A67">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C37B0C" w:rsidRDefault="006520E3" w:rsidP="00137283">
            <w:pPr>
              <w:rPr>
                <w:rFonts w:ascii="Arial" w:hAnsi="Arial" w:cs="Arial"/>
                <w:b/>
                <w:bCs/>
                <w:color w:val="000000"/>
                <w:sz w:val="17"/>
                <w:szCs w:val="17"/>
              </w:rPr>
            </w:pPr>
            <w:r w:rsidRPr="00C37B0C">
              <w:rPr>
                <w:rFonts w:ascii="Arial" w:hAnsi="Arial" w:cs="Arial"/>
                <w:b/>
                <w:bCs/>
                <w:color w:val="000000"/>
                <w:sz w:val="17"/>
                <w:szCs w:val="17"/>
              </w:rPr>
              <w:t>4. Total de Gasto</w:t>
            </w:r>
            <w:r>
              <w:rPr>
                <w:rFonts w:ascii="Arial" w:hAnsi="Arial" w:cs="Arial"/>
                <w:b/>
                <w:bCs/>
                <w:color w:val="000000"/>
                <w:sz w:val="17"/>
                <w:szCs w:val="17"/>
              </w:rPr>
              <w:t>s</w:t>
            </w:r>
            <w:r w:rsidRPr="00C37B0C">
              <w:rPr>
                <w:rFonts w:ascii="Arial" w:hAnsi="Arial" w:cs="Arial"/>
                <w:b/>
                <w:bCs/>
                <w:color w:val="000000"/>
                <w:sz w:val="17"/>
                <w:szCs w:val="17"/>
              </w:rPr>
              <w:t xml:space="preserve"> Contable</w:t>
            </w:r>
            <w:r>
              <w:rPr>
                <w:rFonts w:ascii="Arial" w:hAnsi="Arial" w:cs="Arial"/>
                <w:b/>
                <w:bCs/>
                <w:color w:val="000000"/>
                <w:sz w:val="17"/>
                <w:szCs w:val="17"/>
              </w:rPr>
              <w:t>s</w:t>
            </w:r>
            <w:r w:rsidRPr="00C37B0C">
              <w:rPr>
                <w:rFonts w:ascii="Arial" w:hAnsi="Arial" w:cs="Arial"/>
                <w:b/>
                <w:bCs/>
                <w:color w:val="000000"/>
                <w:sz w:val="17"/>
                <w:szCs w:val="17"/>
              </w:rPr>
              <w:t xml:space="preserve"> </w:t>
            </w:r>
          </w:p>
        </w:tc>
        <w:tc>
          <w:tcPr>
            <w:tcW w:w="2126"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6520E3" w:rsidP="00137283">
            <w:pPr>
              <w:jc w:val="center"/>
              <w:rPr>
                <w:rFonts w:ascii="Arial" w:hAnsi="Arial" w:cs="Arial"/>
                <w:b/>
                <w:bCs/>
                <w:color w:val="000000"/>
                <w:sz w:val="17"/>
                <w:szCs w:val="17"/>
              </w:rPr>
            </w:pPr>
            <w:r w:rsidRPr="00B17AAA">
              <w:rPr>
                <w:rFonts w:ascii="Arial" w:hAnsi="Arial" w:cs="Arial"/>
                <w:b/>
                <w:bCs/>
                <w:color w:val="000000"/>
                <w:sz w:val="17"/>
                <w:szCs w:val="17"/>
              </w:rPr>
              <w:t> </w:t>
            </w:r>
          </w:p>
        </w:tc>
        <w:tc>
          <w:tcPr>
            <w:tcW w:w="1923" w:type="dxa"/>
            <w:tcBorders>
              <w:top w:val="single" w:sz="4" w:space="0" w:color="auto"/>
              <w:left w:val="nil"/>
              <w:bottom w:val="single" w:sz="4" w:space="0" w:color="auto"/>
              <w:right w:val="single" w:sz="4" w:space="0" w:color="auto"/>
            </w:tcBorders>
            <w:shd w:val="clear" w:color="auto" w:fill="D5DCE4"/>
            <w:vAlign w:val="center"/>
            <w:hideMark/>
          </w:tcPr>
          <w:p w:rsidR="006520E3" w:rsidRPr="00B17AAA" w:rsidRDefault="00EA0147" w:rsidP="00137283">
            <w:pPr>
              <w:jc w:val="right"/>
              <w:rPr>
                <w:rFonts w:ascii="Arial" w:hAnsi="Arial" w:cs="Arial"/>
                <w:b/>
                <w:bCs/>
                <w:color w:val="000000"/>
                <w:sz w:val="17"/>
                <w:szCs w:val="17"/>
              </w:rPr>
            </w:pPr>
            <w:r>
              <w:rPr>
                <w:rFonts w:ascii="Arial" w:hAnsi="Arial" w:cs="Arial"/>
                <w:b/>
                <w:bCs/>
                <w:color w:val="000000"/>
                <w:sz w:val="17"/>
                <w:szCs w:val="17"/>
              </w:rPr>
              <w:t>38,636,864,677</w:t>
            </w:r>
          </w:p>
        </w:tc>
      </w:tr>
    </w:tbl>
    <w:p w:rsidR="00515775" w:rsidRDefault="00515775" w:rsidP="00515775">
      <w:pPr>
        <w:autoSpaceDE w:val="0"/>
        <w:autoSpaceDN w:val="0"/>
        <w:adjustRightInd w:val="0"/>
        <w:spacing w:before="240" w:after="120"/>
        <w:ind w:left="720"/>
        <w:rPr>
          <w:rFonts w:ascii="Arial" w:hAnsi="Arial" w:cs="Arial"/>
          <w:b/>
          <w:sz w:val="17"/>
          <w:szCs w:val="17"/>
        </w:rPr>
      </w:pPr>
    </w:p>
    <w:p w:rsidR="006520E3" w:rsidRPr="00515775" w:rsidRDefault="006520E3" w:rsidP="00515775">
      <w:pPr>
        <w:numPr>
          <w:ilvl w:val="0"/>
          <w:numId w:val="9"/>
        </w:numPr>
        <w:autoSpaceDE w:val="0"/>
        <w:autoSpaceDN w:val="0"/>
        <w:adjustRightInd w:val="0"/>
        <w:spacing w:before="240" w:after="120"/>
        <w:jc w:val="center"/>
        <w:rPr>
          <w:rFonts w:ascii="Arial" w:hAnsi="Arial" w:cs="Arial"/>
          <w:b/>
          <w:sz w:val="17"/>
          <w:szCs w:val="17"/>
        </w:rPr>
      </w:pPr>
      <w:r w:rsidRPr="00515775">
        <w:rPr>
          <w:rFonts w:ascii="Arial" w:hAnsi="Arial" w:cs="Arial"/>
          <w:b/>
          <w:sz w:val="17"/>
          <w:szCs w:val="17"/>
        </w:rPr>
        <w:lastRenderedPageBreak/>
        <w:t>Notas de Memoria (Cuentas de Orden):</w:t>
      </w:r>
    </w:p>
    <w:p w:rsidR="006520E3" w:rsidRPr="00031032" w:rsidRDefault="006520E3" w:rsidP="006520E3">
      <w:pPr>
        <w:autoSpaceDE w:val="0"/>
        <w:autoSpaceDN w:val="0"/>
        <w:adjustRightInd w:val="0"/>
        <w:spacing w:before="240" w:after="120"/>
        <w:ind w:left="720"/>
        <w:rPr>
          <w:rFonts w:ascii="Arial" w:hAnsi="Arial" w:cs="Arial"/>
          <w:b/>
          <w:sz w:val="17"/>
          <w:szCs w:val="17"/>
        </w:rPr>
      </w:pP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Las cuentas de orden se utilizan para registrar movimientos de valores que no afecten o modifique</w:t>
      </w:r>
      <w:r>
        <w:rPr>
          <w:rFonts w:ascii="Arial" w:eastAsia="Calibri" w:hAnsi="Arial" w:cs="Arial"/>
          <w:spacing w:val="-1"/>
          <w:sz w:val="17"/>
          <w:szCs w:val="17"/>
        </w:rPr>
        <w:t>n el balance del ente contable;</w:t>
      </w:r>
      <w:r w:rsidRPr="00F1578E">
        <w:rPr>
          <w:rFonts w:ascii="Arial" w:eastAsia="Calibri" w:hAnsi="Arial" w:cs="Arial"/>
          <w:spacing w:val="-1"/>
          <w:sz w:val="17"/>
          <w:szCs w:val="17"/>
        </w:rPr>
        <w:t xml:space="preserve"> sin embargo, su incorporación en libros es necesaria con fines de recordatorio contable, de control y en general sobre los aspectos administrativos, o bien, para consignar sus derechos o responsabilidades contingentes que puedan, o no, presentarse en el futuro.</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Las cuentas que se manejan para efectos de estas Notas son las siguientes: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Cuentas de Orden Contables y Presupuestarias: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Contables: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Valores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Emisión de obligaciones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Avales y garantías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Juicios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Contratos para Inversión Mediante Proyectos para Prestación de Servicios (PPS) y Similares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Bienes concesionados o en comodato</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Presupuestarias:</w:t>
      </w:r>
    </w:p>
    <w:p w:rsidR="006520E3" w:rsidRPr="00F1578E"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Cuentas de ingresos</w:t>
      </w:r>
    </w:p>
    <w:p w:rsidR="006520E3"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ab/>
        <w:t>Cuentas de egresos</w:t>
      </w:r>
    </w:p>
    <w:p w:rsidR="006520E3"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sidRPr="00F1578E">
        <w:rPr>
          <w:rFonts w:ascii="Arial" w:eastAsia="Calibri" w:hAnsi="Arial" w:cs="Arial"/>
          <w:spacing w:val="-1"/>
          <w:sz w:val="17"/>
          <w:szCs w:val="17"/>
        </w:rPr>
        <w:t xml:space="preserve">Se informa, de manera agrupada, </w:t>
      </w:r>
      <w:r>
        <w:rPr>
          <w:rFonts w:ascii="Arial" w:eastAsia="Calibri" w:hAnsi="Arial" w:cs="Arial"/>
          <w:spacing w:val="-1"/>
          <w:sz w:val="17"/>
          <w:szCs w:val="17"/>
        </w:rPr>
        <w:t xml:space="preserve">en las Notas a los Estados Financieros </w:t>
      </w:r>
      <w:r w:rsidRPr="00F1578E">
        <w:rPr>
          <w:rFonts w:ascii="Arial" w:eastAsia="Calibri" w:hAnsi="Arial" w:cs="Arial"/>
          <w:spacing w:val="-1"/>
          <w:sz w:val="17"/>
          <w:szCs w:val="17"/>
        </w:rPr>
        <w:t>las cuentas de orden contables y cuentas de orden presupuestario</w:t>
      </w:r>
      <w:r>
        <w:rPr>
          <w:rFonts w:ascii="Arial" w:eastAsia="Calibri" w:hAnsi="Arial" w:cs="Arial"/>
          <w:spacing w:val="-1"/>
          <w:sz w:val="17"/>
          <w:szCs w:val="17"/>
        </w:rPr>
        <w:t>, considerando al menos lo siguiente</w:t>
      </w:r>
      <w:r w:rsidRPr="00F1578E">
        <w:rPr>
          <w:rFonts w:ascii="Arial" w:eastAsia="Calibri" w:hAnsi="Arial" w:cs="Arial"/>
          <w:spacing w:val="-1"/>
          <w:sz w:val="17"/>
          <w:szCs w:val="17"/>
        </w:rPr>
        <w:t>:</w:t>
      </w:r>
    </w:p>
    <w:p w:rsidR="006520E3" w:rsidRDefault="006520E3" w:rsidP="006520E3">
      <w:pPr>
        <w:spacing w:before="80" w:line="250" w:lineRule="exact"/>
        <w:ind w:left="709"/>
        <w:jc w:val="both"/>
        <w:rPr>
          <w:rFonts w:ascii="Arial" w:eastAsia="Calibri" w:hAnsi="Arial" w:cs="Arial"/>
          <w:spacing w:val="-1"/>
          <w:sz w:val="17"/>
          <w:szCs w:val="17"/>
        </w:rPr>
      </w:pPr>
    </w:p>
    <w:p w:rsidR="006520E3" w:rsidRPr="00E95F20" w:rsidRDefault="006520E3" w:rsidP="006520E3">
      <w:pPr>
        <w:spacing w:before="80" w:line="250" w:lineRule="exact"/>
        <w:ind w:left="1418"/>
        <w:jc w:val="both"/>
        <w:rPr>
          <w:rFonts w:ascii="Arial" w:eastAsia="Calibri" w:hAnsi="Arial" w:cs="Arial"/>
          <w:spacing w:val="-1"/>
          <w:sz w:val="17"/>
          <w:szCs w:val="17"/>
        </w:rPr>
      </w:pPr>
      <w:r w:rsidRPr="00E95F20">
        <w:rPr>
          <w:rFonts w:ascii="Arial" w:eastAsia="Calibri" w:hAnsi="Arial" w:cs="Arial"/>
          <w:spacing w:val="-1"/>
          <w:sz w:val="17"/>
          <w:szCs w:val="17"/>
        </w:rPr>
        <w:t>1. Los valores en custodia de instrumentos prestados a formadores de mercado e instrumentos de</w:t>
      </w:r>
      <w:r>
        <w:rPr>
          <w:rFonts w:ascii="Arial" w:eastAsia="Calibri" w:hAnsi="Arial" w:cs="Arial"/>
          <w:spacing w:val="-1"/>
          <w:sz w:val="17"/>
          <w:szCs w:val="17"/>
        </w:rPr>
        <w:t xml:space="preserve"> </w:t>
      </w:r>
      <w:r w:rsidRPr="00E95F20">
        <w:rPr>
          <w:rFonts w:ascii="Arial" w:eastAsia="Calibri" w:hAnsi="Arial" w:cs="Arial"/>
          <w:spacing w:val="-1"/>
          <w:sz w:val="17"/>
          <w:szCs w:val="17"/>
        </w:rPr>
        <w:t>crédito recibidos en garantía de los formadores de mercado u otros.</w:t>
      </w:r>
    </w:p>
    <w:p w:rsidR="006520E3" w:rsidRPr="00E95F20" w:rsidRDefault="006520E3" w:rsidP="006520E3">
      <w:pPr>
        <w:spacing w:before="80" w:line="250" w:lineRule="exact"/>
        <w:ind w:left="1418"/>
        <w:jc w:val="both"/>
        <w:rPr>
          <w:rFonts w:ascii="Arial" w:eastAsia="Calibri" w:hAnsi="Arial" w:cs="Arial"/>
          <w:spacing w:val="-1"/>
          <w:sz w:val="17"/>
          <w:szCs w:val="17"/>
        </w:rPr>
      </w:pPr>
      <w:r w:rsidRPr="00E95F20">
        <w:rPr>
          <w:rFonts w:ascii="Arial" w:eastAsia="Calibri" w:hAnsi="Arial" w:cs="Arial"/>
          <w:spacing w:val="-1"/>
          <w:sz w:val="17"/>
          <w:szCs w:val="17"/>
        </w:rPr>
        <w:t>2. Por tipo de emisión de instrumento: monto, tasa y vencimiento.</w:t>
      </w:r>
    </w:p>
    <w:p w:rsidR="006520E3" w:rsidRPr="00E95F20" w:rsidRDefault="006520E3" w:rsidP="006520E3">
      <w:pPr>
        <w:spacing w:before="80" w:line="250" w:lineRule="exact"/>
        <w:ind w:left="1418"/>
        <w:jc w:val="both"/>
        <w:rPr>
          <w:rFonts w:ascii="Arial" w:eastAsia="Calibri" w:hAnsi="Arial" w:cs="Arial"/>
          <w:spacing w:val="-1"/>
          <w:sz w:val="17"/>
          <w:szCs w:val="17"/>
        </w:rPr>
      </w:pPr>
      <w:r w:rsidRPr="00E95F20">
        <w:rPr>
          <w:rFonts w:ascii="Arial" w:eastAsia="Calibri" w:hAnsi="Arial" w:cs="Arial"/>
          <w:spacing w:val="-1"/>
          <w:sz w:val="17"/>
          <w:szCs w:val="17"/>
        </w:rPr>
        <w:t>3. Los contratos firmados de construcciones por tipo de contrato.</w:t>
      </w:r>
    </w:p>
    <w:p w:rsidR="006520E3" w:rsidRDefault="006520E3" w:rsidP="006520E3">
      <w:pPr>
        <w:spacing w:before="80" w:line="250" w:lineRule="exact"/>
        <w:ind w:left="1418"/>
        <w:jc w:val="both"/>
        <w:rPr>
          <w:rFonts w:ascii="Arial" w:eastAsia="Calibri" w:hAnsi="Arial" w:cs="Arial"/>
          <w:spacing w:val="-1"/>
          <w:sz w:val="17"/>
          <w:szCs w:val="17"/>
        </w:rPr>
      </w:pPr>
      <w:r w:rsidRPr="00E95F20">
        <w:rPr>
          <w:rFonts w:ascii="Arial" w:eastAsia="Calibri" w:hAnsi="Arial" w:cs="Arial"/>
          <w:spacing w:val="-1"/>
          <w:sz w:val="17"/>
          <w:szCs w:val="17"/>
        </w:rPr>
        <w:t>4. El avance que se registra en las cuentas de orden presupuestarias, previo al cierre presupuestario de</w:t>
      </w:r>
      <w:r>
        <w:rPr>
          <w:rFonts w:ascii="Arial" w:eastAsia="Calibri" w:hAnsi="Arial" w:cs="Arial"/>
          <w:spacing w:val="-1"/>
          <w:sz w:val="17"/>
          <w:szCs w:val="17"/>
        </w:rPr>
        <w:t xml:space="preserve"> </w:t>
      </w:r>
      <w:r w:rsidRPr="00E95F20">
        <w:rPr>
          <w:rFonts w:ascii="Arial" w:eastAsia="Calibri" w:hAnsi="Arial" w:cs="Arial"/>
          <w:spacing w:val="-1"/>
          <w:sz w:val="17"/>
          <w:szCs w:val="17"/>
        </w:rPr>
        <w:t>cada periodo que se reporte.</w:t>
      </w:r>
    </w:p>
    <w:p w:rsidR="006520E3" w:rsidRDefault="006520E3" w:rsidP="006520E3">
      <w:pPr>
        <w:spacing w:before="80" w:line="250" w:lineRule="exact"/>
        <w:ind w:left="1418"/>
        <w:jc w:val="both"/>
        <w:rPr>
          <w:rFonts w:ascii="Arial" w:eastAsia="Calibri" w:hAnsi="Arial" w:cs="Arial"/>
          <w:spacing w:val="-1"/>
          <w:sz w:val="17"/>
          <w:szCs w:val="17"/>
        </w:rPr>
      </w:pPr>
    </w:p>
    <w:p w:rsidR="006520E3" w:rsidRDefault="006520E3" w:rsidP="006520E3">
      <w:pPr>
        <w:spacing w:before="80" w:line="250" w:lineRule="exact"/>
        <w:ind w:left="1418"/>
        <w:jc w:val="both"/>
        <w:rPr>
          <w:rFonts w:ascii="Arial" w:eastAsia="Calibri" w:hAnsi="Arial" w:cs="Arial"/>
          <w:spacing w:val="-1"/>
          <w:sz w:val="17"/>
          <w:szCs w:val="17"/>
        </w:rPr>
      </w:pPr>
    </w:p>
    <w:p w:rsidR="006520E3" w:rsidRDefault="006520E3" w:rsidP="006520E3">
      <w:pPr>
        <w:spacing w:before="80" w:line="250" w:lineRule="exact"/>
        <w:ind w:left="1418"/>
        <w:jc w:val="both"/>
        <w:rPr>
          <w:rFonts w:ascii="Arial" w:eastAsia="Calibri" w:hAnsi="Arial" w:cs="Arial"/>
          <w:spacing w:val="-1"/>
          <w:sz w:val="17"/>
          <w:szCs w:val="17"/>
        </w:rPr>
      </w:pPr>
    </w:p>
    <w:p w:rsidR="006520E3" w:rsidRDefault="006520E3" w:rsidP="006520E3">
      <w:pPr>
        <w:spacing w:before="80" w:line="250" w:lineRule="exact"/>
        <w:ind w:left="1418"/>
        <w:jc w:val="both"/>
        <w:rPr>
          <w:rFonts w:ascii="Arial" w:eastAsia="Calibri" w:hAnsi="Arial" w:cs="Arial"/>
          <w:spacing w:val="-1"/>
          <w:sz w:val="17"/>
          <w:szCs w:val="17"/>
        </w:rPr>
      </w:pPr>
    </w:p>
    <w:p w:rsidR="006520E3" w:rsidRPr="00F1578E" w:rsidRDefault="006520E3" w:rsidP="006520E3">
      <w:pPr>
        <w:spacing w:before="80" w:line="250" w:lineRule="exact"/>
        <w:jc w:val="both"/>
        <w:rPr>
          <w:rFonts w:ascii="Arial" w:eastAsia="Calibri" w:hAnsi="Arial" w:cs="Arial"/>
          <w:spacing w:val="-1"/>
          <w:sz w:val="17"/>
          <w:szCs w:val="17"/>
        </w:rPr>
      </w:pPr>
    </w:p>
    <w:p w:rsidR="006520E3" w:rsidRDefault="006520E3" w:rsidP="006520E3">
      <w:pPr>
        <w:pStyle w:val="Prrafodelista"/>
        <w:numPr>
          <w:ilvl w:val="0"/>
          <w:numId w:val="8"/>
        </w:numPr>
        <w:autoSpaceDE w:val="0"/>
        <w:autoSpaceDN w:val="0"/>
        <w:adjustRightInd w:val="0"/>
        <w:spacing w:before="240" w:after="120"/>
        <w:jc w:val="both"/>
        <w:rPr>
          <w:rFonts w:ascii="Arial" w:hAnsi="Arial" w:cs="Arial"/>
          <w:b/>
          <w:sz w:val="17"/>
          <w:szCs w:val="17"/>
        </w:rPr>
      </w:pPr>
      <w:r w:rsidRPr="00051021">
        <w:rPr>
          <w:rFonts w:ascii="Arial" w:hAnsi="Arial" w:cs="Arial"/>
          <w:b/>
          <w:sz w:val="17"/>
          <w:szCs w:val="17"/>
        </w:rPr>
        <w:lastRenderedPageBreak/>
        <w:t>Cuentas de orden contables</w:t>
      </w:r>
    </w:p>
    <w:p w:rsidR="006520E3" w:rsidRDefault="006520E3" w:rsidP="006520E3">
      <w:pPr>
        <w:pStyle w:val="Prrafodelista"/>
        <w:autoSpaceDE w:val="0"/>
        <w:autoSpaceDN w:val="0"/>
        <w:adjustRightInd w:val="0"/>
        <w:spacing w:before="240" w:after="120"/>
        <w:jc w:val="both"/>
        <w:rPr>
          <w:rFonts w:ascii="Arial" w:hAnsi="Arial" w:cs="Arial"/>
          <w:b/>
          <w:sz w:val="17"/>
          <w:szCs w:val="17"/>
        </w:rPr>
      </w:pPr>
    </w:p>
    <w:p w:rsidR="006520E3" w:rsidRPr="00405D45" w:rsidRDefault="006520E3" w:rsidP="006520E3">
      <w:pPr>
        <w:pStyle w:val="Prrafodelista"/>
        <w:numPr>
          <w:ilvl w:val="0"/>
          <w:numId w:val="50"/>
        </w:numPr>
        <w:autoSpaceDE w:val="0"/>
        <w:autoSpaceDN w:val="0"/>
        <w:adjustRightInd w:val="0"/>
        <w:spacing w:before="240" w:after="120"/>
        <w:jc w:val="both"/>
        <w:rPr>
          <w:rFonts w:ascii="Arial" w:hAnsi="Arial" w:cs="Arial"/>
          <w:b/>
          <w:sz w:val="17"/>
          <w:szCs w:val="17"/>
        </w:rPr>
      </w:pPr>
      <w:r w:rsidRPr="00405D45">
        <w:rPr>
          <w:rFonts w:ascii="Arial" w:hAnsi="Arial" w:cs="Arial"/>
          <w:b/>
          <w:sz w:val="17"/>
          <w:szCs w:val="17"/>
        </w:rPr>
        <w:t>Avales y garantías:</w:t>
      </w:r>
    </w:p>
    <w:p w:rsidR="006520E3" w:rsidRPr="00B269E4" w:rsidRDefault="006520E3" w:rsidP="006520E3">
      <w:pPr>
        <w:autoSpaceDE w:val="0"/>
        <w:autoSpaceDN w:val="0"/>
        <w:adjustRightInd w:val="0"/>
        <w:spacing w:before="240" w:after="120"/>
        <w:jc w:val="center"/>
        <w:rPr>
          <w:rFonts w:ascii="Arial" w:eastAsia="Calibri" w:hAnsi="Arial" w:cs="Arial"/>
          <w:b/>
          <w:spacing w:val="-1"/>
          <w:sz w:val="17"/>
          <w:szCs w:val="17"/>
        </w:rPr>
      </w:pPr>
      <w:r w:rsidRPr="00B269E4">
        <w:rPr>
          <w:rFonts w:ascii="Arial" w:eastAsia="Calibri" w:hAnsi="Arial" w:cs="Arial"/>
          <w:b/>
          <w:spacing w:val="-1"/>
          <w:sz w:val="17"/>
          <w:szCs w:val="17"/>
        </w:rPr>
        <w:t>Pesos)</w:t>
      </w:r>
    </w:p>
    <w:tbl>
      <w:tblPr>
        <w:tblW w:w="13620" w:type="dxa"/>
        <w:jc w:val="center"/>
        <w:tblCellMar>
          <w:left w:w="70" w:type="dxa"/>
          <w:right w:w="70" w:type="dxa"/>
        </w:tblCellMar>
        <w:tblLook w:val="04A0" w:firstRow="1" w:lastRow="0" w:firstColumn="1" w:lastColumn="0" w:noHBand="0" w:noVBand="1"/>
      </w:tblPr>
      <w:tblGrid>
        <w:gridCol w:w="4900"/>
        <w:gridCol w:w="2180"/>
        <w:gridCol w:w="2180"/>
        <w:gridCol w:w="2180"/>
        <w:gridCol w:w="2180"/>
      </w:tblGrid>
      <w:tr w:rsidR="006520E3" w:rsidRPr="00B269E4"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B269E4" w:rsidRDefault="006520E3" w:rsidP="00137283">
            <w:pPr>
              <w:jc w:val="center"/>
              <w:rPr>
                <w:rFonts w:ascii="Calibri" w:hAnsi="Calibri"/>
                <w:b/>
                <w:bCs/>
                <w:color w:val="000000"/>
                <w:sz w:val="18"/>
                <w:szCs w:val="18"/>
              </w:rPr>
            </w:pPr>
            <w:r w:rsidRPr="00B269E4">
              <w:rPr>
                <w:rFonts w:ascii="Calibri" w:hAnsi="Calibri"/>
                <w:b/>
                <w:bCs/>
                <w:color w:val="000000"/>
                <w:sz w:val="18"/>
                <w:szCs w:val="18"/>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269E4" w:rsidRDefault="006520E3" w:rsidP="00137283">
            <w:pPr>
              <w:jc w:val="center"/>
              <w:rPr>
                <w:rFonts w:ascii="Calibri" w:hAnsi="Calibri"/>
                <w:b/>
                <w:bCs/>
                <w:color w:val="000000"/>
                <w:sz w:val="18"/>
                <w:szCs w:val="18"/>
              </w:rPr>
            </w:pPr>
            <w:r w:rsidRPr="00B269E4">
              <w:rPr>
                <w:rFonts w:ascii="Calibri" w:hAnsi="Calibri"/>
                <w:b/>
                <w:bCs/>
                <w:color w:val="000000"/>
                <w:sz w:val="18"/>
                <w:szCs w:val="18"/>
              </w:rPr>
              <w:t>TIPO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269E4" w:rsidRDefault="006520E3" w:rsidP="00137283">
            <w:pPr>
              <w:jc w:val="center"/>
              <w:rPr>
                <w:rFonts w:ascii="Calibri" w:hAnsi="Calibri"/>
                <w:b/>
                <w:bCs/>
                <w:color w:val="000000"/>
                <w:sz w:val="18"/>
                <w:szCs w:val="18"/>
              </w:rPr>
            </w:pPr>
            <w:r w:rsidRPr="00B269E4">
              <w:rPr>
                <w:rFonts w:ascii="Calibri" w:hAnsi="Calibri"/>
                <w:b/>
                <w:bCs/>
                <w:color w:val="000000"/>
                <w:sz w:val="18"/>
                <w:szCs w:val="18"/>
              </w:rPr>
              <w:t>MONTO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269E4" w:rsidRDefault="006520E3" w:rsidP="00137283">
            <w:pPr>
              <w:jc w:val="center"/>
              <w:rPr>
                <w:rFonts w:ascii="Calibri" w:hAnsi="Calibri"/>
                <w:b/>
                <w:bCs/>
                <w:color w:val="000000"/>
                <w:sz w:val="18"/>
                <w:szCs w:val="18"/>
              </w:rPr>
            </w:pPr>
            <w:r w:rsidRPr="00B269E4">
              <w:rPr>
                <w:rFonts w:ascii="Calibri" w:hAnsi="Calibri"/>
                <w:b/>
                <w:bCs/>
                <w:color w:val="000000"/>
                <w:sz w:val="18"/>
                <w:szCs w:val="18"/>
              </w:rPr>
              <w:t>TASA</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269E4" w:rsidRDefault="006520E3" w:rsidP="00137283">
            <w:pPr>
              <w:jc w:val="center"/>
              <w:rPr>
                <w:rFonts w:ascii="Calibri" w:hAnsi="Calibri"/>
                <w:b/>
                <w:bCs/>
                <w:color w:val="000000"/>
                <w:sz w:val="18"/>
                <w:szCs w:val="18"/>
              </w:rPr>
            </w:pPr>
            <w:r w:rsidRPr="00B269E4">
              <w:rPr>
                <w:rFonts w:ascii="Calibri" w:hAnsi="Calibri"/>
                <w:b/>
                <w:bCs/>
                <w:color w:val="000000"/>
                <w:sz w:val="18"/>
                <w:szCs w:val="18"/>
              </w:rPr>
              <w:t>VENCIMIENTO</w:t>
            </w:r>
          </w:p>
        </w:tc>
      </w:tr>
      <w:tr w:rsidR="006520E3" w:rsidRPr="00B269E4" w:rsidTr="00137283">
        <w:trPr>
          <w:trHeight w:val="240"/>
          <w:jc w:val="center"/>
        </w:trPr>
        <w:tc>
          <w:tcPr>
            <w:tcW w:w="4900" w:type="dxa"/>
            <w:tcBorders>
              <w:top w:val="nil"/>
              <w:left w:val="single" w:sz="4" w:space="0" w:color="auto"/>
              <w:bottom w:val="nil"/>
              <w:right w:val="single" w:sz="4" w:space="0" w:color="auto"/>
            </w:tcBorders>
            <w:shd w:val="clear" w:color="auto" w:fill="auto"/>
            <w:vAlign w:val="center"/>
            <w:hideMark/>
          </w:tcPr>
          <w:p w:rsidR="006520E3" w:rsidRPr="00B269E4" w:rsidRDefault="006520E3" w:rsidP="00137283">
            <w:pPr>
              <w:rPr>
                <w:rFonts w:ascii="Calibri" w:hAnsi="Calibri"/>
                <w:color w:val="000000"/>
                <w:sz w:val="18"/>
                <w:szCs w:val="18"/>
              </w:rPr>
            </w:pPr>
            <w:r w:rsidRPr="00B269E4">
              <w:rPr>
                <w:rFonts w:ascii="Calibri" w:hAnsi="Calibri"/>
                <w:color w:val="000000"/>
                <w:sz w:val="18"/>
                <w:szCs w:val="18"/>
              </w:rPr>
              <w:t>Avales Autorizados</w:t>
            </w:r>
          </w:p>
        </w:tc>
        <w:tc>
          <w:tcPr>
            <w:tcW w:w="2180" w:type="dxa"/>
            <w:tcBorders>
              <w:top w:val="nil"/>
              <w:left w:val="nil"/>
              <w:bottom w:val="nil"/>
              <w:right w:val="single" w:sz="4" w:space="0" w:color="auto"/>
            </w:tcBorders>
            <w:shd w:val="clear" w:color="auto" w:fill="auto"/>
            <w:vAlign w:val="center"/>
            <w:hideMark/>
          </w:tcPr>
          <w:p w:rsidR="006520E3" w:rsidRPr="00B269E4" w:rsidRDefault="006520E3" w:rsidP="00137283">
            <w:pPr>
              <w:jc w:val="center"/>
              <w:rPr>
                <w:rFonts w:ascii="Calibri" w:hAnsi="Calibri"/>
                <w:bCs/>
                <w:color w:val="000000"/>
                <w:sz w:val="18"/>
                <w:szCs w:val="18"/>
              </w:rPr>
            </w:pPr>
            <w:r w:rsidRPr="00B269E4">
              <w:rPr>
                <w:rFonts w:ascii="Calibri" w:hAnsi="Calibri"/>
                <w:bCs/>
                <w:color w:val="000000"/>
                <w:sz w:val="18"/>
                <w:szCs w:val="18"/>
              </w:rPr>
              <w:t>Aval deuda CEA</w:t>
            </w:r>
          </w:p>
        </w:tc>
        <w:tc>
          <w:tcPr>
            <w:tcW w:w="2180" w:type="dxa"/>
            <w:tcBorders>
              <w:top w:val="nil"/>
              <w:left w:val="nil"/>
              <w:bottom w:val="nil"/>
              <w:right w:val="single" w:sz="4" w:space="0" w:color="auto"/>
            </w:tcBorders>
            <w:shd w:val="clear" w:color="auto" w:fill="auto"/>
            <w:vAlign w:val="center"/>
          </w:tcPr>
          <w:p w:rsidR="006520E3" w:rsidRPr="00B269E4" w:rsidRDefault="006520E3" w:rsidP="00137283">
            <w:pPr>
              <w:jc w:val="right"/>
              <w:rPr>
                <w:rFonts w:ascii="Calibri" w:hAnsi="Calibri"/>
                <w:bCs/>
                <w:color w:val="000000"/>
                <w:sz w:val="18"/>
                <w:szCs w:val="18"/>
              </w:rPr>
            </w:pPr>
            <w:r w:rsidRPr="00B269E4">
              <w:rPr>
                <w:rFonts w:ascii="Calibri" w:hAnsi="Calibri"/>
                <w:bCs/>
                <w:color w:val="000000"/>
                <w:sz w:val="18"/>
                <w:szCs w:val="18"/>
              </w:rPr>
              <w:t>72,395,079</w:t>
            </w:r>
          </w:p>
        </w:tc>
        <w:tc>
          <w:tcPr>
            <w:tcW w:w="2180" w:type="dxa"/>
            <w:tcBorders>
              <w:top w:val="nil"/>
              <w:left w:val="nil"/>
              <w:bottom w:val="nil"/>
              <w:right w:val="single" w:sz="4" w:space="0" w:color="auto"/>
            </w:tcBorders>
            <w:shd w:val="clear" w:color="auto" w:fill="auto"/>
            <w:vAlign w:val="center"/>
            <w:hideMark/>
          </w:tcPr>
          <w:p w:rsidR="006520E3" w:rsidRPr="00B269E4" w:rsidRDefault="006520E3" w:rsidP="00137283">
            <w:pPr>
              <w:jc w:val="center"/>
              <w:rPr>
                <w:rFonts w:ascii="Calibri" w:hAnsi="Calibri"/>
                <w:bCs/>
                <w:color w:val="000000"/>
                <w:sz w:val="18"/>
                <w:szCs w:val="18"/>
              </w:rPr>
            </w:pPr>
            <w:r w:rsidRPr="00B269E4">
              <w:rPr>
                <w:rFonts w:ascii="Calibri" w:hAnsi="Calibri"/>
                <w:bCs/>
                <w:color w:val="000000"/>
                <w:sz w:val="18"/>
                <w:szCs w:val="18"/>
              </w:rPr>
              <w:t>TIIE + 1.70</w:t>
            </w:r>
          </w:p>
        </w:tc>
        <w:tc>
          <w:tcPr>
            <w:tcW w:w="2180" w:type="dxa"/>
            <w:tcBorders>
              <w:top w:val="nil"/>
              <w:left w:val="nil"/>
              <w:bottom w:val="nil"/>
              <w:right w:val="single" w:sz="4" w:space="0" w:color="auto"/>
            </w:tcBorders>
            <w:shd w:val="clear" w:color="auto" w:fill="auto"/>
            <w:vAlign w:val="center"/>
            <w:hideMark/>
          </w:tcPr>
          <w:p w:rsidR="006520E3" w:rsidRPr="00B269E4" w:rsidRDefault="006520E3" w:rsidP="00137283">
            <w:pPr>
              <w:jc w:val="center"/>
              <w:rPr>
                <w:rFonts w:ascii="Calibri" w:hAnsi="Calibri"/>
                <w:bCs/>
                <w:color w:val="000000"/>
                <w:sz w:val="18"/>
                <w:szCs w:val="18"/>
              </w:rPr>
            </w:pPr>
            <w:r w:rsidRPr="00B269E4">
              <w:rPr>
                <w:rFonts w:ascii="Calibri" w:hAnsi="Calibri"/>
                <w:bCs/>
                <w:color w:val="000000"/>
                <w:sz w:val="18"/>
                <w:szCs w:val="18"/>
              </w:rPr>
              <w:t>23/10/2027</w:t>
            </w:r>
          </w:p>
        </w:tc>
      </w:tr>
      <w:tr w:rsidR="006520E3" w:rsidRPr="00B269E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tcPr>
          <w:p w:rsidR="006520E3" w:rsidRPr="00B269E4" w:rsidRDefault="006520E3" w:rsidP="00137283">
            <w:pPr>
              <w:rPr>
                <w:rFonts w:ascii="Calibri" w:hAnsi="Calibri"/>
                <w:color w:val="000000"/>
                <w:sz w:val="18"/>
                <w:szCs w:val="18"/>
              </w:rPr>
            </w:pPr>
            <w:r w:rsidRPr="00B269E4">
              <w:rPr>
                <w:rFonts w:ascii="Calibri" w:hAnsi="Calibri"/>
                <w:color w:val="000000"/>
                <w:sz w:val="18"/>
                <w:szCs w:val="18"/>
              </w:rPr>
              <w:t>Suscripción de Contratos de Préstamos y Otras Obligaciones de la Deuda Pública Interna</w:t>
            </w:r>
          </w:p>
        </w:tc>
        <w:tc>
          <w:tcPr>
            <w:tcW w:w="2180" w:type="dxa"/>
            <w:tcBorders>
              <w:top w:val="nil"/>
              <w:left w:val="nil"/>
              <w:bottom w:val="single" w:sz="4" w:space="0" w:color="auto"/>
              <w:right w:val="single" w:sz="4" w:space="0" w:color="auto"/>
            </w:tcBorders>
            <w:shd w:val="clear" w:color="auto" w:fill="auto"/>
            <w:vAlign w:val="center"/>
          </w:tcPr>
          <w:p w:rsidR="006520E3" w:rsidRPr="00B269E4" w:rsidRDefault="006520E3" w:rsidP="00137283">
            <w:pPr>
              <w:jc w:val="center"/>
              <w:rPr>
                <w:rFonts w:ascii="Calibri" w:hAnsi="Calibri"/>
                <w:bCs/>
                <w:color w:val="000000"/>
                <w:sz w:val="18"/>
                <w:szCs w:val="18"/>
              </w:rPr>
            </w:pPr>
            <w:r w:rsidRPr="00B269E4">
              <w:rPr>
                <w:rFonts w:ascii="Calibri" w:hAnsi="Calibri"/>
                <w:bCs/>
                <w:color w:val="000000"/>
                <w:sz w:val="18"/>
                <w:szCs w:val="18"/>
              </w:rPr>
              <w:t>Contrato BANOBRAS</w:t>
            </w:r>
          </w:p>
        </w:tc>
        <w:tc>
          <w:tcPr>
            <w:tcW w:w="2180" w:type="dxa"/>
            <w:tcBorders>
              <w:top w:val="nil"/>
              <w:left w:val="nil"/>
              <w:bottom w:val="single" w:sz="4" w:space="0" w:color="auto"/>
              <w:right w:val="single" w:sz="4" w:space="0" w:color="auto"/>
            </w:tcBorders>
            <w:shd w:val="clear" w:color="auto" w:fill="auto"/>
            <w:vAlign w:val="center"/>
          </w:tcPr>
          <w:p w:rsidR="006520E3" w:rsidRPr="00B269E4" w:rsidRDefault="006520E3" w:rsidP="00137283">
            <w:pPr>
              <w:jc w:val="right"/>
              <w:rPr>
                <w:rFonts w:ascii="Calibri" w:hAnsi="Calibri"/>
                <w:bCs/>
                <w:color w:val="000000"/>
                <w:sz w:val="18"/>
                <w:szCs w:val="18"/>
              </w:rPr>
            </w:pPr>
            <w:r w:rsidRPr="00B269E4">
              <w:rPr>
                <w:rFonts w:ascii="Calibri" w:hAnsi="Calibri"/>
                <w:bCs/>
                <w:color w:val="000000"/>
                <w:sz w:val="18"/>
                <w:szCs w:val="18"/>
              </w:rPr>
              <w:t>65,842,628</w:t>
            </w:r>
          </w:p>
        </w:tc>
        <w:tc>
          <w:tcPr>
            <w:tcW w:w="2180" w:type="dxa"/>
            <w:tcBorders>
              <w:top w:val="nil"/>
              <w:left w:val="nil"/>
              <w:bottom w:val="single" w:sz="4" w:space="0" w:color="auto"/>
              <w:right w:val="single" w:sz="4" w:space="0" w:color="auto"/>
            </w:tcBorders>
            <w:shd w:val="clear" w:color="auto" w:fill="auto"/>
            <w:vAlign w:val="center"/>
          </w:tcPr>
          <w:p w:rsidR="006520E3" w:rsidRPr="00B269E4" w:rsidRDefault="006520E3" w:rsidP="00137283">
            <w:pPr>
              <w:jc w:val="center"/>
              <w:rPr>
                <w:rFonts w:ascii="Calibri" w:hAnsi="Calibri"/>
                <w:bCs/>
                <w:color w:val="000000"/>
                <w:sz w:val="18"/>
                <w:szCs w:val="18"/>
              </w:rPr>
            </w:pPr>
            <w:r w:rsidRPr="00B269E4">
              <w:rPr>
                <w:rFonts w:ascii="Calibri" w:hAnsi="Calibri"/>
                <w:bCs/>
                <w:color w:val="000000"/>
                <w:sz w:val="18"/>
                <w:szCs w:val="18"/>
              </w:rPr>
              <w:t>TIIE + 2.77</w:t>
            </w:r>
          </w:p>
        </w:tc>
        <w:tc>
          <w:tcPr>
            <w:tcW w:w="2180" w:type="dxa"/>
            <w:tcBorders>
              <w:top w:val="nil"/>
              <w:left w:val="nil"/>
              <w:bottom w:val="single" w:sz="4" w:space="0" w:color="auto"/>
              <w:right w:val="single" w:sz="4" w:space="0" w:color="auto"/>
            </w:tcBorders>
            <w:shd w:val="clear" w:color="auto" w:fill="auto"/>
            <w:vAlign w:val="center"/>
          </w:tcPr>
          <w:p w:rsidR="006520E3" w:rsidRPr="00B269E4" w:rsidRDefault="006520E3" w:rsidP="00137283">
            <w:pPr>
              <w:jc w:val="center"/>
              <w:rPr>
                <w:rFonts w:ascii="Calibri" w:hAnsi="Calibri"/>
                <w:bCs/>
                <w:color w:val="000000"/>
                <w:sz w:val="18"/>
                <w:szCs w:val="18"/>
              </w:rPr>
            </w:pPr>
            <w:r w:rsidRPr="00B269E4">
              <w:rPr>
                <w:rFonts w:ascii="Calibri" w:hAnsi="Calibri"/>
                <w:bCs/>
                <w:color w:val="000000"/>
                <w:sz w:val="18"/>
                <w:szCs w:val="18"/>
              </w:rPr>
              <w:t>01/09/2035</w:t>
            </w:r>
          </w:p>
        </w:tc>
      </w:tr>
    </w:tbl>
    <w:p w:rsidR="006520E3" w:rsidRDefault="006520E3" w:rsidP="006520E3">
      <w:pPr>
        <w:pStyle w:val="Prrafodelista"/>
        <w:spacing w:before="80" w:line="250" w:lineRule="exact"/>
        <w:jc w:val="both"/>
        <w:rPr>
          <w:rFonts w:ascii="Arial" w:eastAsia="Calibri" w:hAnsi="Arial" w:cs="Arial"/>
          <w:spacing w:val="-1"/>
          <w:sz w:val="17"/>
          <w:szCs w:val="17"/>
        </w:rPr>
      </w:pPr>
      <w:r w:rsidRPr="00B269E4">
        <w:rPr>
          <w:rFonts w:ascii="Arial" w:eastAsia="Calibri" w:hAnsi="Arial" w:cs="Arial"/>
          <w:spacing w:val="-1"/>
          <w:sz w:val="17"/>
          <w:szCs w:val="17"/>
        </w:rPr>
        <w:t>Representa un importe de hasta 72</w:t>
      </w:r>
      <w:proofErr w:type="gramStart"/>
      <w:r w:rsidRPr="00B269E4">
        <w:rPr>
          <w:rFonts w:ascii="Arial" w:eastAsia="Calibri" w:hAnsi="Arial" w:cs="Arial"/>
          <w:spacing w:val="-1"/>
          <w:sz w:val="17"/>
          <w:szCs w:val="17"/>
        </w:rPr>
        <w:t>,395,079</w:t>
      </w:r>
      <w:proofErr w:type="gramEnd"/>
      <w:r w:rsidRPr="00B269E4">
        <w:rPr>
          <w:rFonts w:ascii="Arial" w:eastAsia="Calibri" w:hAnsi="Arial" w:cs="Arial"/>
          <w:spacing w:val="-1"/>
          <w:sz w:val="17"/>
          <w:szCs w:val="17"/>
        </w:rPr>
        <w:t xml:space="preserve"> por concepto de contraprestación de servicio del Acueducto II, por el ejercicio fiscal siguiente.</w:t>
      </w:r>
    </w:p>
    <w:p w:rsidR="006520E3" w:rsidRPr="006033FC" w:rsidRDefault="006520E3" w:rsidP="006520E3">
      <w:pPr>
        <w:pStyle w:val="Prrafodelista"/>
        <w:spacing w:before="80" w:line="250" w:lineRule="exact"/>
        <w:jc w:val="both"/>
        <w:rPr>
          <w:rFonts w:ascii="Arial" w:eastAsia="Calibri" w:hAnsi="Arial" w:cs="Arial"/>
          <w:spacing w:val="-1"/>
          <w:sz w:val="17"/>
          <w:szCs w:val="17"/>
        </w:rPr>
      </w:pPr>
    </w:p>
    <w:p w:rsidR="006520E3" w:rsidRDefault="006520E3" w:rsidP="006520E3">
      <w:pPr>
        <w:pStyle w:val="Prrafodelista"/>
        <w:spacing w:before="80" w:line="250" w:lineRule="exact"/>
        <w:jc w:val="both"/>
        <w:rPr>
          <w:rFonts w:ascii="Arial" w:eastAsia="Calibri" w:hAnsi="Arial" w:cs="Arial"/>
          <w:spacing w:val="-1"/>
          <w:sz w:val="17"/>
          <w:szCs w:val="17"/>
        </w:rPr>
      </w:pPr>
      <w:r w:rsidRPr="006033FC">
        <w:rPr>
          <w:rFonts w:ascii="Arial" w:eastAsia="Calibri" w:hAnsi="Arial" w:cs="Arial"/>
          <w:spacing w:val="-1"/>
          <w:sz w:val="17"/>
          <w:szCs w:val="17"/>
        </w:rPr>
        <w:t>Contrato de crédito para cubrir al Desarrollador Inmobiliario una determinada cantidad de dinero como contraprestación para el caso de que los edificios construidos por este último en el Parque Aeroespacial de Querétaro dejen de generar rentas por no tener arrendatario, siempre que no sea por causa imputable al Desarrollador Inmobiliario, con la finalidad de que este último recupere parcialmente la inversión realizada por la construcción de inmuebles en terrenos del Poder Ejecutivo del Estado de Querétaro, cuyas edificaciones pasarán a ser propiedad de este último, como propietario de los terrenos.</w:t>
      </w:r>
    </w:p>
    <w:p w:rsidR="006520E3" w:rsidRPr="00392303" w:rsidRDefault="006520E3" w:rsidP="006520E3">
      <w:pPr>
        <w:spacing w:before="80" w:line="250" w:lineRule="exact"/>
        <w:jc w:val="both"/>
        <w:rPr>
          <w:rFonts w:ascii="Arial" w:eastAsia="Calibri" w:hAnsi="Arial" w:cs="Arial"/>
          <w:spacing w:val="-1"/>
          <w:sz w:val="17"/>
          <w:szCs w:val="17"/>
        </w:rPr>
      </w:pPr>
      <w:r>
        <w:rPr>
          <w:rFonts w:ascii="Arial" w:eastAsia="Calibri" w:hAnsi="Arial" w:cs="Arial"/>
          <w:b/>
          <w:spacing w:val="-1"/>
          <w:sz w:val="17"/>
          <w:szCs w:val="17"/>
        </w:rPr>
        <w:tab/>
      </w: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Atendiendo los lineamientos para el registro auxiliar sujeto a inventario de bienes arqueológicos, artísticos e históricos bajo custodia de los entes públicos a que hace referencia la Ley General de Contabilidad Gubernamental:</w:t>
      </w:r>
    </w:p>
    <w:p w:rsidR="006520E3" w:rsidRDefault="006520E3" w:rsidP="006520E3">
      <w:pPr>
        <w:autoSpaceDE w:val="0"/>
        <w:autoSpaceDN w:val="0"/>
        <w:adjustRightInd w:val="0"/>
        <w:spacing w:before="240" w:after="120"/>
        <w:jc w:val="center"/>
        <w:rPr>
          <w:rFonts w:ascii="Arial" w:eastAsia="Calibri" w:hAnsi="Arial" w:cs="Arial"/>
          <w:b/>
          <w:spacing w:val="-1"/>
          <w:sz w:val="17"/>
          <w:szCs w:val="17"/>
        </w:rPr>
      </w:pPr>
      <w:r w:rsidRPr="00931A44">
        <w:rPr>
          <w:rFonts w:ascii="Arial" w:eastAsia="Calibri" w:hAnsi="Arial" w:cs="Arial"/>
          <w:b/>
          <w:spacing w:val="-1"/>
          <w:sz w:val="17"/>
          <w:szCs w:val="17"/>
        </w:rPr>
        <w:t>(Pesos)</w:t>
      </w:r>
    </w:p>
    <w:p w:rsidR="006520E3" w:rsidRDefault="006520E3" w:rsidP="006520E3">
      <w:pPr>
        <w:numPr>
          <w:ilvl w:val="0"/>
          <w:numId w:val="8"/>
        </w:numPr>
        <w:rPr>
          <w:rFonts w:ascii="Calibri" w:hAnsi="Calibri"/>
          <w:b/>
          <w:bCs/>
          <w:color w:val="000000"/>
          <w:sz w:val="18"/>
          <w:szCs w:val="18"/>
        </w:rPr>
      </w:pPr>
      <w:r w:rsidRPr="00931A44">
        <w:rPr>
          <w:rFonts w:ascii="Calibri" w:hAnsi="Calibri"/>
          <w:b/>
          <w:bCs/>
          <w:color w:val="000000"/>
          <w:sz w:val="18"/>
          <w:szCs w:val="18"/>
        </w:rPr>
        <w:t>Bienes Arqueológicos, Artísticos e Históricos:</w:t>
      </w:r>
    </w:p>
    <w:p w:rsidR="006520E3" w:rsidRDefault="006520E3" w:rsidP="006520E3">
      <w:pPr>
        <w:ind w:left="720"/>
        <w:rPr>
          <w:rFonts w:ascii="Calibri" w:hAnsi="Calibri"/>
          <w:b/>
          <w:bCs/>
          <w:color w:val="000000"/>
          <w:sz w:val="18"/>
          <w:szCs w:val="18"/>
        </w:rPr>
      </w:pP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6520E3" w:rsidRPr="00931A44"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931A44" w:rsidRDefault="006520E3" w:rsidP="00137283">
            <w:pPr>
              <w:jc w:val="center"/>
              <w:rPr>
                <w:rFonts w:ascii="Calibri" w:hAnsi="Calibri"/>
                <w:b/>
                <w:bCs/>
                <w:color w:val="000000"/>
                <w:sz w:val="18"/>
                <w:szCs w:val="18"/>
              </w:rPr>
            </w:pPr>
            <w:r w:rsidRPr="00931A44">
              <w:rPr>
                <w:rFonts w:ascii="Calibri" w:hAnsi="Calibri"/>
                <w:b/>
                <w:bCs/>
                <w:color w:val="000000"/>
                <w:sz w:val="18"/>
                <w:szCs w:val="18"/>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931A44" w:rsidRDefault="006520E3" w:rsidP="00137283">
            <w:pPr>
              <w:jc w:val="center"/>
              <w:rPr>
                <w:rFonts w:ascii="Calibri" w:hAnsi="Calibri"/>
                <w:b/>
                <w:bCs/>
                <w:color w:val="000000"/>
                <w:sz w:val="18"/>
                <w:szCs w:val="18"/>
              </w:rPr>
            </w:pPr>
            <w:r w:rsidRPr="00931A44">
              <w:rPr>
                <w:rFonts w:ascii="Calibri" w:hAnsi="Calibri"/>
                <w:b/>
                <w:bCs/>
                <w:color w:val="000000"/>
                <w:sz w:val="18"/>
                <w:szCs w:val="18"/>
              </w:rPr>
              <w:t>TIPO</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931A44" w:rsidRDefault="006520E3" w:rsidP="00137283">
            <w:pPr>
              <w:jc w:val="center"/>
              <w:rPr>
                <w:rFonts w:ascii="Calibri" w:hAnsi="Calibri"/>
                <w:b/>
                <w:bCs/>
                <w:color w:val="000000"/>
                <w:sz w:val="18"/>
                <w:szCs w:val="18"/>
              </w:rPr>
            </w:pPr>
            <w:r w:rsidRPr="00931A44">
              <w:rPr>
                <w:rFonts w:ascii="Calibri" w:hAnsi="Calibri"/>
                <w:b/>
                <w:bCs/>
                <w:color w:val="000000"/>
                <w:sz w:val="18"/>
                <w:szCs w:val="18"/>
              </w:rPr>
              <w:t>MONTO</w:t>
            </w:r>
          </w:p>
        </w:tc>
      </w:tr>
      <w:tr w:rsidR="006520E3" w:rsidRPr="00F6298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tcPr>
          <w:p w:rsidR="006520E3" w:rsidRPr="00931A44" w:rsidRDefault="006520E3" w:rsidP="00137283">
            <w:pPr>
              <w:rPr>
                <w:rFonts w:ascii="Calibri" w:hAnsi="Calibri"/>
                <w:color w:val="000000"/>
                <w:sz w:val="18"/>
                <w:szCs w:val="18"/>
              </w:rPr>
            </w:pPr>
            <w:r w:rsidRPr="00931A44">
              <w:rPr>
                <w:rFonts w:ascii="Calibri" w:hAnsi="Calibri"/>
                <w:color w:val="000000"/>
                <w:sz w:val="18"/>
                <w:szCs w:val="18"/>
              </w:rPr>
              <w:t>Bienes Arqueológicos</w:t>
            </w:r>
          </w:p>
        </w:tc>
        <w:tc>
          <w:tcPr>
            <w:tcW w:w="2180" w:type="dxa"/>
            <w:tcBorders>
              <w:top w:val="nil"/>
              <w:left w:val="nil"/>
              <w:bottom w:val="single" w:sz="4" w:space="0" w:color="auto"/>
              <w:right w:val="single" w:sz="4" w:space="0" w:color="auto"/>
            </w:tcBorders>
            <w:shd w:val="clear" w:color="auto" w:fill="auto"/>
            <w:vAlign w:val="center"/>
          </w:tcPr>
          <w:p w:rsidR="006520E3" w:rsidRPr="00931A44" w:rsidRDefault="006520E3" w:rsidP="00137283">
            <w:pPr>
              <w:jc w:val="center"/>
              <w:rPr>
                <w:rFonts w:ascii="Calibri" w:hAnsi="Calibri"/>
                <w:bCs/>
                <w:color w:val="000000"/>
                <w:sz w:val="18"/>
                <w:szCs w:val="18"/>
              </w:rPr>
            </w:pPr>
            <w:r w:rsidRPr="00931A44">
              <w:rPr>
                <w:rFonts w:ascii="Calibri" w:hAnsi="Calibri"/>
                <w:bCs/>
                <w:color w:val="000000"/>
                <w:sz w:val="18"/>
                <w:szCs w:val="18"/>
              </w:rPr>
              <w:t>Arqueológico</w:t>
            </w:r>
          </w:p>
        </w:tc>
        <w:tc>
          <w:tcPr>
            <w:tcW w:w="2180" w:type="dxa"/>
            <w:tcBorders>
              <w:top w:val="nil"/>
              <w:left w:val="nil"/>
              <w:bottom w:val="single" w:sz="4" w:space="0" w:color="auto"/>
              <w:right w:val="single" w:sz="4" w:space="0" w:color="auto"/>
            </w:tcBorders>
            <w:shd w:val="clear" w:color="auto" w:fill="auto"/>
            <w:vAlign w:val="center"/>
          </w:tcPr>
          <w:p w:rsidR="006520E3" w:rsidRPr="00F62984" w:rsidRDefault="006520E3" w:rsidP="00137283">
            <w:pPr>
              <w:jc w:val="right"/>
              <w:rPr>
                <w:rFonts w:ascii="Calibri" w:hAnsi="Calibri"/>
                <w:bCs/>
                <w:color w:val="000000"/>
                <w:sz w:val="18"/>
                <w:szCs w:val="18"/>
              </w:rPr>
            </w:pPr>
            <w:r w:rsidRPr="00F62984">
              <w:rPr>
                <w:rFonts w:ascii="Calibri" w:hAnsi="Calibri"/>
                <w:bCs/>
                <w:color w:val="000000"/>
                <w:sz w:val="18"/>
                <w:szCs w:val="18"/>
              </w:rPr>
              <w:t>1</w:t>
            </w:r>
          </w:p>
        </w:tc>
      </w:tr>
      <w:tr w:rsidR="006520E3" w:rsidRPr="00F6298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520E3" w:rsidRPr="00931A44" w:rsidRDefault="006520E3" w:rsidP="00137283">
            <w:pPr>
              <w:rPr>
                <w:rFonts w:ascii="Calibri" w:hAnsi="Calibri"/>
                <w:color w:val="000000"/>
                <w:sz w:val="18"/>
                <w:szCs w:val="18"/>
              </w:rPr>
            </w:pPr>
            <w:r w:rsidRPr="00931A44">
              <w:rPr>
                <w:rFonts w:ascii="Calibri" w:hAnsi="Calibri"/>
                <w:color w:val="000000"/>
                <w:sz w:val="18"/>
                <w:szCs w:val="18"/>
              </w:rPr>
              <w:t>Bienes Artísticos Muebles</w:t>
            </w:r>
          </w:p>
        </w:tc>
        <w:tc>
          <w:tcPr>
            <w:tcW w:w="2180" w:type="dxa"/>
            <w:tcBorders>
              <w:top w:val="nil"/>
              <w:left w:val="nil"/>
              <w:bottom w:val="single" w:sz="4" w:space="0" w:color="auto"/>
              <w:right w:val="single" w:sz="4" w:space="0" w:color="auto"/>
            </w:tcBorders>
            <w:shd w:val="clear" w:color="auto" w:fill="auto"/>
            <w:vAlign w:val="center"/>
            <w:hideMark/>
          </w:tcPr>
          <w:p w:rsidR="006520E3" w:rsidRPr="00931A44" w:rsidRDefault="006520E3" w:rsidP="00137283">
            <w:pPr>
              <w:jc w:val="center"/>
              <w:rPr>
                <w:rFonts w:ascii="Calibri" w:hAnsi="Calibri"/>
                <w:bCs/>
                <w:color w:val="000000"/>
                <w:sz w:val="18"/>
                <w:szCs w:val="18"/>
              </w:rPr>
            </w:pPr>
            <w:r w:rsidRPr="00931A44">
              <w:rPr>
                <w:rFonts w:ascii="Calibri" w:hAnsi="Calibri"/>
                <w:bCs/>
                <w:color w:val="000000"/>
                <w:sz w:val="18"/>
                <w:szCs w:val="18"/>
              </w:rPr>
              <w:t>Artístico</w:t>
            </w:r>
          </w:p>
        </w:tc>
        <w:tc>
          <w:tcPr>
            <w:tcW w:w="2180" w:type="dxa"/>
            <w:tcBorders>
              <w:top w:val="nil"/>
              <w:left w:val="nil"/>
              <w:bottom w:val="single" w:sz="4" w:space="0" w:color="auto"/>
              <w:right w:val="single" w:sz="4" w:space="0" w:color="auto"/>
            </w:tcBorders>
            <w:shd w:val="clear" w:color="auto" w:fill="auto"/>
            <w:vAlign w:val="center"/>
          </w:tcPr>
          <w:p w:rsidR="006520E3" w:rsidRPr="00F62984" w:rsidRDefault="006520E3" w:rsidP="00137283">
            <w:pPr>
              <w:jc w:val="right"/>
              <w:rPr>
                <w:rFonts w:ascii="Calibri" w:hAnsi="Calibri"/>
                <w:bCs/>
                <w:color w:val="000000"/>
                <w:sz w:val="18"/>
                <w:szCs w:val="18"/>
              </w:rPr>
            </w:pPr>
            <w:r w:rsidRPr="00F62984">
              <w:rPr>
                <w:rFonts w:ascii="Calibri" w:hAnsi="Calibri"/>
                <w:bCs/>
                <w:color w:val="000000"/>
                <w:sz w:val="18"/>
                <w:szCs w:val="18"/>
              </w:rPr>
              <w:t>293</w:t>
            </w:r>
          </w:p>
        </w:tc>
      </w:tr>
      <w:tr w:rsidR="006520E3" w:rsidRPr="00F6298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tcPr>
          <w:p w:rsidR="006520E3" w:rsidRPr="00931A44" w:rsidRDefault="006520E3" w:rsidP="00137283">
            <w:pPr>
              <w:rPr>
                <w:rFonts w:ascii="Calibri" w:hAnsi="Calibri"/>
                <w:color w:val="000000"/>
                <w:sz w:val="18"/>
                <w:szCs w:val="18"/>
              </w:rPr>
            </w:pPr>
            <w:r>
              <w:rPr>
                <w:rFonts w:ascii="Calibri" w:hAnsi="Calibri"/>
                <w:color w:val="000000"/>
                <w:sz w:val="18"/>
                <w:szCs w:val="18"/>
              </w:rPr>
              <w:t>Bienes Artísticos Inm</w:t>
            </w:r>
            <w:r w:rsidRPr="00931A44">
              <w:rPr>
                <w:rFonts w:ascii="Calibri" w:hAnsi="Calibri"/>
                <w:color w:val="000000"/>
                <w:sz w:val="18"/>
                <w:szCs w:val="18"/>
              </w:rPr>
              <w:t>uebles</w:t>
            </w:r>
          </w:p>
        </w:tc>
        <w:tc>
          <w:tcPr>
            <w:tcW w:w="2180" w:type="dxa"/>
            <w:tcBorders>
              <w:top w:val="nil"/>
              <w:left w:val="nil"/>
              <w:bottom w:val="single" w:sz="4" w:space="0" w:color="auto"/>
              <w:right w:val="single" w:sz="4" w:space="0" w:color="auto"/>
            </w:tcBorders>
            <w:shd w:val="clear" w:color="auto" w:fill="auto"/>
            <w:vAlign w:val="center"/>
          </w:tcPr>
          <w:p w:rsidR="006520E3" w:rsidRPr="00931A44" w:rsidRDefault="006520E3" w:rsidP="00137283">
            <w:pPr>
              <w:jc w:val="center"/>
              <w:rPr>
                <w:rFonts w:ascii="Calibri" w:hAnsi="Calibri"/>
                <w:bCs/>
                <w:color w:val="000000"/>
                <w:sz w:val="18"/>
                <w:szCs w:val="18"/>
              </w:rPr>
            </w:pPr>
            <w:r w:rsidRPr="00931A44">
              <w:rPr>
                <w:rFonts w:ascii="Calibri" w:hAnsi="Calibri"/>
                <w:bCs/>
                <w:color w:val="000000"/>
                <w:sz w:val="18"/>
                <w:szCs w:val="18"/>
              </w:rPr>
              <w:t>Artístico</w:t>
            </w:r>
          </w:p>
        </w:tc>
        <w:tc>
          <w:tcPr>
            <w:tcW w:w="2180" w:type="dxa"/>
            <w:tcBorders>
              <w:top w:val="nil"/>
              <w:left w:val="nil"/>
              <w:bottom w:val="single" w:sz="4" w:space="0" w:color="auto"/>
              <w:right w:val="single" w:sz="4" w:space="0" w:color="auto"/>
            </w:tcBorders>
            <w:shd w:val="clear" w:color="auto" w:fill="auto"/>
            <w:vAlign w:val="center"/>
          </w:tcPr>
          <w:p w:rsidR="006520E3" w:rsidRPr="00F62984" w:rsidRDefault="006520E3" w:rsidP="00137283">
            <w:pPr>
              <w:jc w:val="right"/>
              <w:rPr>
                <w:rFonts w:ascii="Calibri" w:hAnsi="Calibri"/>
                <w:bCs/>
                <w:color w:val="000000"/>
                <w:sz w:val="18"/>
                <w:szCs w:val="18"/>
              </w:rPr>
            </w:pPr>
            <w:r w:rsidRPr="00F62984">
              <w:rPr>
                <w:rFonts w:ascii="Calibri" w:hAnsi="Calibri"/>
                <w:bCs/>
                <w:color w:val="000000"/>
                <w:sz w:val="18"/>
                <w:szCs w:val="18"/>
              </w:rPr>
              <w:t>18</w:t>
            </w:r>
          </w:p>
        </w:tc>
      </w:tr>
      <w:tr w:rsidR="006520E3" w:rsidRPr="00F6298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520E3" w:rsidRPr="00931A44" w:rsidRDefault="006520E3" w:rsidP="00137283">
            <w:pPr>
              <w:rPr>
                <w:rFonts w:ascii="Calibri" w:hAnsi="Calibri"/>
                <w:color w:val="000000"/>
                <w:sz w:val="18"/>
                <w:szCs w:val="18"/>
              </w:rPr>
            </w:pPr>
            <w:r w:rsidRPr="00931A44">
              <w:rPr>
                <w:rFonts w:ascii="Calibri" w:hAnsi="Calibri"/>
                <w:color w:val="000000"/>
                <w:sz w:val="18"/>
                <w:szCs w:val="18"/>
              </w:rPr>
              <w:t>Bienes Históricos Muebles</w:t>
            </w:r>
          </w:p>
        </w:tc>
        <w:tc>
          <w:tcPr>
            <w:tcW w:w="2180" w:type="dxa"/>
            <w:tcBorders>
              <w:top w:val="nil"/>
              <w:left w:val="nil"/>
              <w:bottom w:val="single" w:sz="4" w:space="0" w:color="auto"/>
              <w:right w:val="single" w:sz="4" w:space="0" w:color="auto"/>
            </w:tcBorders>
            <w:shd w:val="clear" w:color="auto" w:fill="auto"/>
            <w:vAlign w:val="center"/>
            <w:hideMark/>
          </w:tcPr>
          <w:p w:rsidR="006520E3" w:rsidRPr="00931A44" w:rsidRDefault="006520E3" w:rsidP="00137283">
            <w:pPr>
              <w:jc w:val="center"/>
              <w:rPr>
                <w:rFonts w:ascii="Calibri" w:hAnsi="Calibri"/>
                <w:bCs/>
                <w:color w:val="000000"/>
                <w:sz w:val="18"/>
                <w:szCs w:val="18"/>
              </w:rPr>
            </w:pPr>
            <w:r w:rsidRPr="00931A44">
              <w:rPr>
                <w:rFonts w:ascii="Calibri" w:hAnsi="Calibri"/>
                <w:bCs/>
                <w:color w:val="000000"/>
                <w:sz w:val="18"/>
                <w:szCs w:val="18"/>
              </w:rPr>
              <w:t>Mueble</w:t>
            </w:r>
          </w:p>
        </w:tc>
        <w:tc>
          <w:tcPr>
            <w:tcW w:w="2180" w:type="dxa"/>
            <w:tcBorders>
              <w:top w:val="nil"/>
              <w:left w:val="nil"/>
              <w:bottom w:val="single" w:sz="4" w:space="0" w:color="auto"/>
              <w:right w:val="single" w:sz="4" w:space="0" w:color="auto"/>
            </w:tcBorders>
            <w:shd w:val="clear" w:color="auto" w:fill="auto"/>
            <w:vAlign w:val="center"/>
          </w:tcPr>
          <w:p w:rsidR="006520E3" w:rsidRPr="00F62984" w:rsidRDefault="006520E3" w:rsidP="00137283">
            <w:pPr>
              <w:jc w:val="right"/>
              <w:rPr>
                <w:rFonts w:ascii="Calibri" w:hAnsi="Calibri"/>
                <w:bCs/>
                <w:color w:val="000000"/>
                <w:sz w:val="18"/>
                <w:szCs w:val="18"/>
              </w:rPr>
            </w:pPr>
            <w:r w:rsidRPr="00F62984">
              <w:rPr>
                <w:rFonts w:ascii="Calibri" w:hAnsi="Calibri"/>
                <w:bCs/>
                <w:color w:val="000000"/>
                <w:sz w:val="18"/>
                <w:szCs w:val="18"/>
              </w:rPr>
              <w:t>58</w:t>
            </w:r>
          </w:p>
        </w:tc>
      </w:tr>
      <w:tr w:rsidR="006520E3" w:rsidRPr="00F6298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520E3" w:rsidRPr="00931A44" w:rsidRDefault="006520E3" w:rsidP="00137283">
            <w:pPr>
              <w:rPr>
                <w:rFonts w:ascii="Calibri" w:hAnsi="Calibri"/>
                <w:color w:val="000000"/>
                <w:sz w:val="18"/>
                <w:szCs w:val="18"/>
              </w:rPr>
            </w:pPr>
            <w:r w:rsidRPr="00931A44">
              <w:rPr>
                <w:rFonts w:ascii="Calibri" w:hAnsi="Calibri"/>
                <w:color w:val="000000"/>
                <w:sz w:val="18"/>
                <w:szCs w:val="18"/>
              </w:rPr>
              <w:t>Bienes Históricos Inmuebles</w:t>
            </w:r>
          </w:p>
        </w:tc>
        <w:tc>
          <w:tcPr>
            <w:tcW w:w="2180" w:type="dxa"/>
            <w:tcBorders>
              <w:top w:val="nil"/>
              <w:left w:val="nil"/>
              <w:bottom w:val="single" w:sz="4" w:space="0" w:color="auto"/>
              <w:right w:val="single" w:sz="4" w:space="0" w:color="auto"/>
            </w:tcBorders>
            <w:shd w:val="clear" w:color="auto" w:fill="auto"/>
            <w:vAlign w:val="center"/>
            <w:hideMark/>
          </w:tcPr>
          <w:p w:rsidR="006520E3" w:rsidRPr="00931A44" w:rsidRDefault="006520E3" w:rsidP="00137283">
            <w:pPr>
              <w:jc w:val="center"/>
              <w:rPr>
                <w:rFonts w:ascii="Calibri" w:hAnsi="Calibri"/>
                <w:bCs/>
                <w:color w:val="000000"/>
                <w:sz w:val="18"/>
                <w:szCs w:val="18"/>
              </w:rPr>
            </w:pPr>
            <w:r w:rsidRPr="00931A44">
              <w:rPr>
                <w:rFonts w:ascii="Calibri" w:hAnsi="Calibri"/>
                <w:bCs/>
                <w:color w:val="000000"/>
                <w:sz w:val="18"/>
                <w:szCs w:val="18"/>
              </w:rPr>
              <w:t>Inmuebles</w:t>
            </w:r>
          </w:p>
        </w:tc>
        <w:tc>
          <w:tcPr>
            <w:tcW w:w="2180" w:type="dxa"/>
            <w:tcBorders>
              <w:top w:val="nil"/>
              <w:left w:val="nil"/>
              <w:bottom w:val="single" w:sz="4" w:space="0" w:color="auto"/>
              <w:right w:val="single" w:sz="4" w:space="0" w:color="auto"/>
            </w:tcBorders>
            <w:shd w:val="clear" w:color="auto" w:fill="auto"/>
            <w:vAlign w:val="center"/>
          </w:tcPr>
          <w:p w:rsidR="006520E3" w:rsidRPr="00F62984" w:rsidRDefault="006520E3" w:rsidP="00137283">
            <w:pPr>
              <w:jc w:val="right"/>
              <w:rPr>
                <w:rFonts w:ascii="Calibri" w:hAnsi="Calibri"/>
                <w:bCs/>
                <w:color w:val="000000"/>
                <w:sz w:val="18"/>
                <w:szCs w:val="18"/>
              </w:rPr>
            </w:pPr>
            <w:r w:rsidRPr="00F62984">
              <w:rPr>
                <w:rFonts w:ascii="Calibri" w:hAnsi="Calibri"/>
                <w:bCs/>
                <w:color w:val="000000"/>
                <w:sz w:val="18"/>
                <w:szCs w:val="18"/>
              </w:rPr>
              <w:t>43</w:t>
            </w:r>
          </w:p>
        </w:tc>
      </w:tr>
      <w:tr w:rsidR="006520E3" w:rsidRPr="00F62984" w:rsidTr="00137283">
        <w:trPr>
          <w:trHeight w:val="24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520E3" w:rsidRPr="00931A44" w:rsidRDefault="006520E3" w:rsidP="00137283">
            <w:pPr>
              <w:rPr>
                <w:rFonts w:ascii="Calibri" w:hAnsi="Calibri"/>
                <w:color w:val="000000"/>
                <w:sz w:val="18"/>
                <w:szCs w:val="18"/>
              </w:rPr>
            </w:pPr>
            <w:r w:rsidRPr="00931A44">
              <w:rPr>
                <w:rFonts w:ascii="Calibri" w:hAnsi="Calibri"/>
                <w:color w:val="000000"/>
                <w:sz w:val="18"/>
                <w:szCs w:val="18"/>
              </w:rPr>
              <w:t>Bienes Históricos Documentos y Expedientes</w:t>
            </w:r>
          </w:p>
        </w:tc>
        <w:tc>
          <w:tcPr>
            <w:tcW w:w="2180" w:type="dxa"/>
            <w:tcBorders>
              <w:top w:val="nil"/>
              <w:left w:val="nil"/>
              <w:bottom w:val="single" w:sz="4" w:space="0" w:color="auto"/>
              <w:right w:val="single" w:sz="4" w:space="0" w:color="auto"/>
            </w:tcBorders>
            <w:shd w:val="clear" w:color="auto" w:fill="auto"/>
            <w:vAlign w:val="center"/>
            <w:hideMark/>
          </w:tcPr>
          <w:p w:rsidR="006520E3" w:rsidRPr="00931A44" w:rsidRDefault="006520E3" w:rsidP="00137283">
            <w:pPr>
              <w:jc w:val="center"/>
              <w:rPr>
                <w:rFonts w:ascii="Calibri" w:hAnsi="Calibri"/>
                <w:bCs/>
                <w:color w:val="000000"/>
                <w:sz w:val="18"/>
                <w:szCs w:val="18"/>
              </w:rPr>
            </w:pPr>
            <w:r w:rsidRPr="00931A44">
              <w:rPr>
                <w:rFonts w:ascii="Calibri" w:hAnsi="Calibri"/>
                <w:bCs/>
                <w:color w:val="000000"/>
                <w:sz w:val="18"/>
                <w:szCs w:val="18"/>
              </w:rPr>
              <w:t>Documentos</w:t>
            </w:r>
          </w:p>
        </w:tc>
        <w:tc>
          <w:tcPr>
            <w:tcW w:w="2180" w:type="dxa"/>
            <w:tcBorders>
              <w:top w:val="nil"/>
              <w:left w:val="nil"/>
              <w:bottom w:val="single" w:sz="4" w:space="0" w:color="auto"/>
              <w:right w:val="single" w:sz="4" w:space="0" w:color="auto"/>
            </w:tcBorders>
            <w:shd w:val="clear" w:color="auto" w:fill="auto"/>
            <w:vAlign w:val="center"/>
          </w:tcPr>
          <w:p w:rsidR="006520E3" w:rsidRPr="00F62984" w:rsidRDefault="006520E3" w:rsidP="00137283">
            <w:pPr>
              <w:jc w:val="right"/>
              <w:rPr>
                <w:rFonts w:ascii="Calibri" w:hAnsi="Calibri"/>
                <w:bCs/>
                <w:color w:val="000000"/>
                <w:sz w:val="18"/>
                <w:szCs w:val="18"/>
              </w:rPr>
            </w:pPr>
            <w:r w:rsidRPr="00F62984">
              <w:rPr>
                <w:rFonts w:ascii="Calibri" w:hAnsi="Calibri"/>
                <w:bCs/>
                <w:color w:val="000000"/>
                <w:sz w:val="18"/>
                <w:szCs w:val="18"/>
              </w:rPr>
              <w:t>2,213</w:t>
            </w:r>
          </w:p>
        </w:tc>
      </w:tr>
    </w:tbl>
    <w:p w:rsidR="00515775" w:rsidRDefault="00515775"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Los bienes artísticos muebles; bienes históricos muebles; y los bienes históricos, documentos y expedientes, de conformidad a los </w:t>
      </w:r>
      <w:r w:rsidRPr="00E42C7E">
        <w:rPr>
          <w:rFonts w:ascii="Arial" w:eastAsia="Calibri" w:hAnsi="Arial" w:cs="Arial"/>
          <w:spacing w:val="-1"/>
          <w:sz w:val="17"/>
          <w:szCs w:val="17"/>
        </w:rPr>
        <w:t xml:space="preserve">Lineamientos </w:t>
      </w:r>
      <w:r>
        <w:rPr>
          <w:rFonts w:ascii="Arial" w:eastAsia="Calibri" w:hAnsi="Arial" w:cs="Arial"/>
          <w:spacing w:val="-1"/>
          <w:sz w:val="17"/>
          <w:szCs w:val="17"/>
        </w:rPr>
        <w:t>para e</w:t>
      </w:r>
      <w:r w:rsidRPr="00E42C7E">
        <w:rPr>
          <w:rFonts w:ascii="Arial" w:eastAsia="Calibri" w:hAnsi="Arial" w:cs="Arial"/>
          <w:spacing w:val="-1"/>
          <w:sz w:val="17"/>
          <w:szCs w:val="17"/>
        </w:rPr>
        <w:t>l Registro Auxiliar</w:t>
      </w:r>
      <w:r>
        <w:rPr>
          <w:rFonts w:ascii="Arial" w:eastAsia="Calibri" w:hAnsi="Arial" w:cs="Arial"/>
          <w:spacing w:val="-1"/>
          <w:sz w:val="17"/>
          <w:szCs w:val="17"/>
        </w:rPr>
        <w:t xml:space="preserve"> </w:t>
      </w:r>
      <w:r w:rsidRPr="00E42C7E">
        <w:rPr>
          <w:rFonts w:ascii="Arial" w:eastAsia="Calibri" w:hAnsi="Arial" w:cs="Arial"/>
          <w:spacing w:val="-1"/>
          <w:sz w:val="17"/>
          <w:szCs w:val="17"/>
        </w:rPr>
        <w:t xml:space="preserve">Sujeto </w:t>
      </w:r>
      <w:r>
        <w:rPr>
          <w:rFonts w:ascii="Arial" w:eastAsia="Calibri" w:hAnsi="Arial" w:cs="Arial"/>
          <w:spacing w:val="-1"/>
          <w:sz w:val="17"/>
          <w:szCs w:val="17"/>
        </w:rPr>
        <w:t>a Inventario d</w:t>
      </w:r>
      <w:r w:rsidRPr="00E42C7E">
        <w:rPr>
          <w:rFonts w:ascii="Arial" w:eastAsia="Calibri" w:hAnsi="Arial" w:cs="Arial"/>
          <w:spacing w:val="-1"/>
          <w:sz w:val="17"/>
          <w:szCs w:val="17"/>
        </w:rPr>
        <w:t>e Bienes Arqueológicos,</w:t>
      </w:r>
      <w:r>
        <w:rPr>
          <w:rFonts w:ascii="Arial" w:eastAsia="Calibri" w:hAnsi="Arial" w:cs="Arial"/>
          <w:spacing w:val="-1"/>
          <w:sz w:val="17"/>
          <w:szCs w:val="17"/>
        </w:rPr>
        <w:t xml:space="preserve"> </w:t>
      </w:r>
      <w:r w:rsidRPr="00E42C7E">
        <w:rPr>
          <w:rFonts w:ascii="Arial" w:eastAsia="Calibri" w:hAnsi="Arial" w:cs="Arial"/>
          <w:spacing w:val="-1"/>
          <w:sz w:val="17"/>
          <w:szCs w:val="17"/>
        </w:rPr>
        <w:t xml:space="preserve">Artísticos </w:t>
      </w:r>
      <w:r>
        <w:rPr>
          <w:rFonts w:ascii="Arial" w:eastAsia="Calibri" w:hAnsi="Arial" w:cs="Arial"/>
          <w:spacing w:val="-1"/>
          <w:sz w:val="17"/>
          <w:szCs w:val="17"/>
        </w:rPr>
        <w:t>e</w:t>
      </w:r>
      <w:r w:rsidRPr="00E42C7E">
        <w:rPr>
          <w:rFonts w:ascii="Arial" w:eastAsia="Calibri" w:hAnsi="Arial" w:cs="Arial"/>
          <w:spacing w:val="-1"/>
          <w:sz w:val="17"/>
          <w:szCs w:val="17"/>
        </w:rPr>
        <w:t xml:space="preserve"> Históricos Bajo</w:t>
      </w:r>
      <w:r>
        <w:rPr>
          <w:rFonts w:ascii="Arial" w:eastAsia="Calibri" w:hAnsi="Arial" w:cs="Arial"/>
          <w:spacing w:val="-1"/>
          <w:sz w:val="17"/>
          <w:szCs w:val="17"/>
        </w:rPr>
        <w:t xml:space="preserve"> Custodia de l</w:t>
      </w:r>
      <w:r w:rsidRPr="00E42C7E">
        <w:rPr>
          <w:rFonts w:ascii="Arial" w:eastAsia="Calibri" w:hAnsi="Arial" w:cs="Arial"/>
          <w:spacing w:val="-1"/>
          <w:sz w:val="17"/>
          <w:szCs w:val="17"/>
        </w:rPr>
        <w:t>os Entes Públicos</w:t>
      </w:r>
      <w:r>
        <w:rPr>
          <w:rFonts w:ascii="Arial" w:eastAsia="Calibri" w:hAnsi="Arial" w:cs="Arial"/>
          <w:spacing w:val="-1"/>
          <w:sz w:val="17"/>
          <w:szCs w:val="17"/>
        </w:rPr>
        <w:t xml:space="preserve"> emitidos por el Consejo Nacional de Armonización Contable, se registran en cuentas de orden al valor de la unidad monetaria </w:t>
      </w:r>
      <w:r w:rsidRPr="00AF1366">
        <w:rPr>
          <w:rFonts w:ascii="Arial" w:eastAsia="Calibri" w:hAnsi="Arial" w:cs="Arial"/>
          <w:spacing w:val="-1"/>
          <w:sz w:val="17"/>
          <w:szCs w:val="17"/>
        </w:rPr>
        <w:t>(un peso)</w:t>
      </w:r>
      <w:r>
        <w:rPr>
          <w:rFonts w:ascii="Arial" w:eastAsia="Calibri" w:hAnsi="Arial" w:cs="Arial"/>
          <w:spacing w:val="-1"/>
          <w:sz w:val="17"/>
          <w:szCs w:val="17"/>
        </w:rPr>
        <w:t>.</w:t>
      </w: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Los b</w:t>
      </w:r>
      <w:r w:rsidRPr="00944F9E">
        <w:rPr>
          <w:rFonts w:ascii="Arial" w:eastAsia="Calibri" w:hAnsi="Arial" w:cs="Arial"/>
          <w:spacing w:val="-1"/>
          <w:sz w:val="17"/>
          <w:szCs w:val="17"/>
        </w:rPr>
        <w:t xml:space="preserve">ienes </w:t>
      </w:r>
      <w:r>
        <w:rPr>
          <w:rFonts w:ascii="Arial" w:eastAsia="Calibri" w:hAnsi="Arial" w:cs="Arial"/>
          <w:spacing w:val="-1"/>
          <w:sz w:val="17"/>
          <w:szCs w:val="17"/>
        </w:rPr>
        <w:t>h</w:t>
      </w:r>
      <w:r w:rsidRPr="00944F9E">
        <w:rPr>
          <w:rFonts w:ascii="Arial" w:eastAsia="Calibri" w:hAnsi="Arial" w:cs="Arial"/>
          <w:spacing w:val="-1"/>
          <w:sz w:val="17"/>
          <w:szCs w:val="17"/>
        </w:rPr>
        <w:t xml:space="preserve">istóricos </w:t>
      </w:r>
      <w:r>
        <w:rPr>
          <w:rFonts w:ascii="Arial" w:eastAsia="Calibri" w:hAnsi="Arial" w:cs="Arial"/>
          <w:spacing w:val="-1"/>
          <w:sz w:val="17"/>
          <w:szCs w:val="17"/>
        </w:rPr>
        <w:t>i</w:t>
      </w:r>
      <w:r w:rsidRPr="00944F9E">
        <w:rPr>
          <w:rFonts w:ascii="Arial" w:eastAsia="Calibri" w:hAnsi="Arial" w:cs="Arial"/>
          <w:spacing w:val="-1"/>
          <w:sz w:val="17"/>
          <w:szCs w:val="17"/>
        </w:rPr>
        <w:t>nmuebles</w:t>
      </w:r>
      <w:r>
        <w:rPr>
          <w:rFonts w:ascii="Arial" w:eastAsia="Calibri" w:hAnsi="Arial" w:cs="Arial"/>
          <w:spacing w:val="-1"/>
          <w:sz w:val="17"/>
          <w:szCs w:val="17"/>
        </w:rPr>
        <w:t xml:space="preserve"> se encuentran registrados a valor catastral.</w:t>
      </w:r>
    </w:p>
    <w:p w:rsidR="006520E3" w:rsidRPr="00E95F20" w:rsidRDefault="006520E3" w:rsidP="006520E3">
      <w:pPr>
        <w:spacing w:before="80" w:line="250" w:lineRule="exact"/>
        <w:ind w:left="709"/>
        <w:jc w:val="both"/>
        <w:rPr>
          <w:rFonts w:ascii="Arial" w:eastAsia="Calibri" w:hAnsi="Arial" w:cs="Arial"/>
          <w:spacing w:val="-1"/>
          <w:sz w:val="17"/>
          <w:szCs w:val="17"/>
        </w:rPr>
      </w:pPr>
    </w:p>
    <w:p w:rsidR="006520E3" w:rsidRDefault="006520E3" w:rsidP="006520E3">
      <w:pPr>
        <w:spacing w:before="80" w:line="250" w:lineRule="exact"/>
        <w:ind w:left="709"/>
        <w:jc w:val="both"/>
        <w:rPr>
          <w:rFonts w:ascii="Arial" w:eastAsia="Calibri" w:hAnsi="Arial" w:cs="Arial"/>
          <w:spacing w:val="-1"/>
          <w:sz w:val="17"/>
          <w:szCs w:val="17"/>
        </w:rPr>
      </w:pPr>
      <w:r w:rsidRPr="00D366BC">
        <w:rPr>
          <w:rFonts w:ascii="Arial" w:eastAsia="Calibri" w:hAnsi="Arial" w:cs="Arial"/>
          <w:spacing w:val="-1"/>
          <w:sz w:val="17"/>
          <w:szCs w:val="17"/>
        </w:rPr>
        <w:t xml:space="preserve">En el rubro de otras cuentas de orden contables en control y seguimiento se realizó el registro del Devengado pendiente de pago FONE al mes de </w:t>
      </w:r>
      <w:r w:rsidR="0050443D">
        <w:rPr>
          <w:rFonts w:ascii="Arial" w:eastAsia="Calibri" w:hAnsi="Arial" w:cs="Arial"/>
          <w:spacing w:val="-1"/>
          <w:sz w:val="17"/>
          <w:szCs w:val="17"/>
        </w:rPr>
        <w:t>Diciembre</w:t>
      </w:r>
      <w:r w:rsidRPr="00D366BC">
        <w:rPr>
          <w:rFonts w:ascii="Arial" w:eastAsia="Calibri" w:hAnsi="Arial" w:cs="Arial"/>
          <w:spacing w:val="-1"/>
          <w:sz w:val="17"/>
          <w:szCs w:val="17"/>
        </w:rPr>
        <w:t xml:space="preserve"> por 149,360.</w:t>
      </w:r>
    </w:p>
    <w:p w:rsidR="006520E3" w:rsidRPr="00191335" w:rsidRDefault="006520E3" w:rsidP="006520E3">
      <w:pPr>
        <w:spacing w:before="80" w:line="250" w:lineRule="exact"/>
        <w:ind w:left="709"/>
        <w:jc w:val="both"/>
        <w:rPr>
          <w:rFonts w:ascii="Arial" w:eastAsia="Calibri" w:hAnsi="Arial" w:cs="Arial"/>
          <w:spacing w:val="-1"/>
          <w:sz w:val="17"/>
          <w:szCs w:val="17"/>
        </w:rPr>
      </w:pPr>
    </w:p>
    <w:p w:rsidR="006520E3" w:rsidRPr="001C6DCB" w:rsidRDefault="006520E3" w:rsidP="006520E3">
      <w:pPr>
        <w:pStyle w:val="Prrafodelista"/>
        <w:numPr>
          <w:ilvl w:val="0"/>
          <w:numId w:val="22"/>
        </w:numPr>
        <w:autoSpaceDE w:val="0"/>
        <w:autoSpaceDN w:val="0"/>
        <w:adjustRightInd w:val="0"/>
        <w:spacing w:before="240" w:after="120"/>
        <w:jc w:val="both"/>
        <w:rPr>
          <w:rFonts w:ascii="Arial" w:hAnsi="Arial" w:cs="Arial"/>
          <w:b/>
          <w:sz w:val="17"/>
          <w:szCs w:val="17"/>
        </w:rPr>
      </w:pPr>
      <w:r w:rsidRPr="001C6DCB">
        <w:rPr>
          <w:rFonts w:ascii="Arial" w:hAnsi="Arial" w:cs="Arial"/>
          <w:b/>
          <w:sz w:val="17"/>
          <w:szCs w:val="17"/>
        </w:rPr>
        <w:lastRenderedPageBreak/>
        <w:t>Cuentas de orden presupuestario</w:t>
      </w:r>
    </w:p>
    <w:p w:rsidR="006520E3" w:rsidRDefault="006520E3" w:rsidP="006520E3">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Se informa e</w:t>
      </w:r>
      <w:r w:rsidRPr="003C5B3C">
        <w:rPr>
          <w:rFonts w:ascii="Arial" w:eastAsia="Calibri" w:hAnsi="Arial" w:cs="Arial"/>
          <w:spacing w:val="-1"/>
          <w:sz w:val="17"/>
          <w:szCs w:val="17"/>
        </w:rPr>
        <w:t>l avance que se registra en las cuentas de orden presupuestarias</w:t>
      </w:r>
      <w:r>
        <w:rPr>
          <w:rFonts w:ascii="Arial" w:eastAsia="Calibri" w:hAnsi="Arial" w:cs="Arial"/>
          <w:spacing w:val="-1"/>
          <w:sz w:val="17"/>
          <w:szCs w:val="17"/>
        </w:rPr>
        <w:t xml:space="preserve">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p>
    <w:p w:rsidR="006520E3" w:rsidRPr="00BC133F" w:rsidRDefault="006520E3" w:rsidP="006520E3">
      <w:pPr>
        <w:autoSpaceDE w:val="0"/>
        <w:autoSpaceDN w:val="0"/>
        <w:adjustRightInd w:val="0"/>
        <w:spacing w:before="240" w:after="120"/>
        <w:jc w:val="center"/>
        <w:rPr>
          <w:rFonts w:ascii="Arial" w:eastAsia="Calibri" w:hAnsi="Arial" w:cs="Arial"/>
          <w:b/>
          <w:spacing w:val="-1"/>
          <w:sz w:val="17"/>
          <w:szCs w:val="17"/>
        </w:rPr>
      </w:pPr>
      <w:r w:rsidRPr="00BC133F">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6520E3" w:rsidRPr="00BC133F" w:rsidTr="00137283">
        <w:trPr>
          <w:trHeight w:val="240"/>
          <w:jc w:val="center"/>
        </w:trPr>
        <w:tc>
          <w:tcPr>
            <w:tcW w:w="4900" w:type="dxa"/>
            <w:tcBorders>
              <w:top w:val="nil"/>
              <w:left w:val="nil"/>
              <w:bottom w:val="nil"/>
              <w:right w:val="nil"/>
            </w:tcBorders>
            <w:shd w:val="clear" w:color="000000" w:fill="FFFFFF"/>
            <w:vAlign w:val="center"/>
            <w:hideMark/>
          </w:tcPr>
          <w:p w:rsidR="006520E3" w:rsidRPr="00BC133F" w:rsidRDefault="006520E3" w:rsidP="00137283">
            <w:pPr>
              <w:rPr>
                <w:rFonts w:ascii="Calibri" w:hAnsi="Calibri"/>
                <w:b/>
                <w:bCs/>
                <w:color w:val="000000"/>
                <w:sz w:val="18"/>
                <w:szCs w:val="18"/>
              </w:rPr>
            </w:pPr>
            <w:r w:rsidRPr="00BC133F">
              <w:rPr>
                <w:rFonts w:ascii="Calibri" w:hAnsi="Calibri"/>
                <w:b/>
                <w:bCs/>
                <w:color w:val="000000"/>
                <w:sz w:val="18"/>
                <w:szCs w:val="18"/>
              </w:rPr>
              <w:t>A. Ingresos:</w:t>
            </w:r>
          </w:p>
        </w:tc>
        <w:tc>
          <w:tcPr>
            <w:tcW w:w="2180" w:type="dxa"/>
            <w:tcBorders>
              <w:top w:val="nil"/>
              <w:left w:val="nil"/>
              <w:bottom w:val="nil"/>
              <w:right w:val="nil"/>
            </w:tcBorders>
            <w:shd w:val="clear" w:color="000000" w:fill="FFFFFF"/>
            <w:vAlign w:val="center"/>
            <w:hideMark/>
          </w:tcPr>
          <w:p w:rsidR="006520E3" w:rsidRPr="00BC133F" w:rsidRDefault="006520E3" w:rsidP="00137283">
            <w:pPr>
              <w:rPr>
                <w:rFonts w:ascii="Calibri" w:hAnsi="Calibri"/>
                <w:b/>
                <w:bCs/>
                <w:color w:val="000000"/>
                <w:sz w:val="18"/>
                <w:szCs w:val="18"/>
              </w:rPr>
            </w:pPr>
            <w:r w:rsidRPr="00BC133F">
              <w:rPr>
                <w:rFonts w:ascii="Calibri" w:hAnsi="Calibri"/>
                <w:b/>
                <w:bCs/>
                <w:color w:val="000000"/>
                <w:sz w:val="18"/>
                <w:szCs w:val="18"/>
              </w:rPr>
              <w:t> </w:t>
            </w:r>
          </w:p>
        </w:tc>
      </w:tr>
      <w:tr w:rsidR="006520E3" w:rsidRPr="00BC133F"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BC133F" w:rsidRDefault="006520E3" w:rsidP="00137283">
            <w:pPr>
              <w:jc w:val="center"/>
              <w:rPr>
                <w:rFonts w:ascii="Calibri" w:hAnsi="Calibri"/>
                <w:b/>
                <w:bCs/>
                <w:color w:val="000000"/>
                <w:sz w:val="18"/>
                <w:szCs w:val="18"/>
              </w:rPr>
            </w:pPr>
            <w:r w:rsidRPr="00BC133F">
              <w:rPr>
                <w:rFonts w:ascii="Calibri" w:hAnsi="Calibri"/>
                <w:b/>
                <w:bCs/>
                <w:color w:val="000000"/>
                <w:sz w:val="18"/>
                <w:szCs w:val="18"/>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BC133F" w:rsidRDefault="006520E3" w:rsidP="00137283">
            <w:pPr>
              <w:jc w:val="center"/>
              <w:rPr>
                <w:rFonts w:ascii="Calibri" w:hAnsi="Calibri"/>
                <w:b/>
                <w:bCs/>
                <w:color w:val="000000"/>
                <w:sz w:val="18"/>
                <w:szCs w:val="18"/>
              </w:rPr>
            </w:pPr>
            <w:r w:rsidRPr="00BC133F">
              <w:rPr>
                <w:rFonts w:ascii="Calibri" w:hAnsi="Calibri"/>
                <w:b/>
                <w:bCs/>
                <w:color w:val="000000"/>
                <w:sz w:val="18"/>
                <w:szCs w:val="18"/>
              </w:rPr>
              <w:t>Monto</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Ley de Ingresos Estimada</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 33,669,042,566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Ley de Ingresos por Ejecutar</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-0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Modificaciones a la Ley de Ingresos Estimada</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 4,131,083,928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Ley de Ingresos Devengada</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 -   </w:t>
            </w:r>
          </w:p>
        </w:tc>
      </w:tr>
      <w:tr w:rsidR="006520E3" w:rsidRPr="002A2064"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Ley de Ingresos Recaudada</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-37,800,126,494 </w:t>
            </w:r>
          </w:p>
        </w:tc>
      </w:tr>
      <w:tr w:rsidR="006520E3" w:rsidRPr="002A2064" w:rsidTr="00137283">
        <w:trPr>
          <w:trHeight w:val="240"/>
          <w:jc w:val="center"/>
        </w:trPr>
        <w:tc>
          <w:tcPr>
            <w:tcW w:w="4900" w:type="dxa"/>
            <w:tcBorders>
              <w:top w:val="single" w:sz="4" w:space="0" w:color="auto"/>
              <w:right w:val="single" w:sz="4" w:space="0" w:color="auto"/>
            </w:tcBorders>
            <w:shd w:val="clear" w:color="000000" w:fill="FFFFFF"/>
            <w:vAlign w:val="center"/>
            <w:hideMark/>
          </w:tcPr>
          <w:p w:rsidR="006520E3" w:rsidRPr="002A2064" w:rsidRDefault="006520E3" w:rsidP="00137283">
            <w:pPr>
              <w:jc w:val="center"/>
              <w:rPr>
                <w:rFonts w:ascii="Arial" w:hAnsi="Arial" w:cs="Arial"/>
                <w:b/>
                <w:bCs/>
                <w:color w:val="000000"/>
                <w:sz w:val="17"/>
                <w:szCs w:val="17"/>
              </w:rPr>
            </w:pPr>
            <w:r w:rsidRPr="002A2064">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 -   </w:t>
            </w:r>
          </w:p>
        </w:tc>
      </w:tr>
    </w:tbl>
    <w:p w:rsidR="006520E3" w:rsidRPr="002A2064" w:rsidRDefault="006520E3" w:rsidP="006520E3">
      <w:pPr>
        <w:spacing w:before="80" w:line="250" w:lineRule="exact"/>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Pr>
      <w:tblGrid>
        <w:gridCol w:w="4900"/>
        <w:gridCol w:w="2180"/>
      </w:tblGrid>
      <w:tr w:rsidR="006520E3" w:rsidRPr="002A2064" w:rsidTr="00137283">
        <w:trPr>
          <w:trHeight w:val="240"/>
          <w:jc w:val="center"/>
        </w:trPr>
        <w:tc>
          <w:tcPr>
            <w:tcW w:w="4900" w:type="dxa"/>
            <w:tcBorders>
              <w:top w:val="nil"/>
              <w:left w:val="nil"/>
              <w:bottom w:val="nil"/>
              <w:right w:val="nil"/>
            </w:tcBorders>
            <w:shd w:val="clear" w:color="000000" w:fill="FFFFFF"/>
            <w:vAlign w:val="center"/>
            <w:hideMark/>
          </w:tcPr>
          <w:p w:rsidR="006520E3" w:rsidRPr="002A2064" w:rsidRDefault="006520E3" w:rsidP="00137283">
            <w:pPr>
              <w:rPr>
                <w:rFonts w:ascii="Calibri" w:hAnsi="Calibri"/>
                <w:b/>
                <w:bCs/>
                <w:color w:val="000000"/>
                <w:sz w:val="18"/>
                <w:szCs w:val="18"/>
              </w:rPr>
            </w:pPr>
          </w:p>
          <w:p w:rsidR="006520E3" w:rsidRPr="002A2064" w:rsidRDefault="006520E3" w:rsidP="00137283">
            <w:pPr>
              <w:rPr>
                <w:rFonts w:ascii="Calibri" w:hAnsi="Calibri"/>
                <w:b/>
                <w:bCs/>
                <w:color w:val="000000"/>
                <w:sz w:val="18"/>
                <w:szCs w:val="18"/>
              </w:rPr>
            </w:pPr>
            <w:r w:rsidRPr="002A2064">
              <w:rPr>
                <w:rFonts w:ascii="Calibri" w:hAnsi="Calibri"/>
                <w:b/>
                <w:bCs/>
                <w:color w:val="000000"/>
                <w:sz w:val="18"/>
                <w:szCs w:val="18"/>
              </w:rPr>
              <w:t>B. Egresos:</w:t>
            </w:r>
          </w:p>
        </w:tc>
        <w:tc>
          <w:tcPr>
            <w:tcW w:w="2180" w:type="dxa"/>
            <w:tcBorders>
              <w:top w:val="nil"/>
              <w:left w:val="nil"/>
              <w:bottom w:val="nil"/>
              <w:right w:val="nil"/>
            </w:tcBorders>
            <w:shd w:val="clear" w:color="000000" w:fill="FFFFFF"/>
            <w:vAlign w:val="center"/>
            <w:hideMark/>
          </w:tcPr>
          <w:p w:rsidR="006520E3" w:rsidRPr="002A2064" w:rsidRDefault="006520E3" w:rsidP="00137283">
            <w:pPr>
              <w:rPr>
                <w:rFonts w:ascii="Calibri" w:hAnsi="Calibri"/>
                <w:b/>
                <w:bCs/>
                <w:color w:val="000000"/>
                <w:sz w:val="18"/>
                <w:szCs w:val="18"/>
              </w:rPr>
            </w:pPr>
            <w:r w:rsidRPr="002A2064">
              <w:rPr>
                <w:rFonts w:ascii="Calibri" w:hAnsi="Calibri"/>
                <w:b/>
                <w:bCs/>
                <w:color w:val="000000"/>
                <w:sz w:val="18"/>
                <w:szCs w:val="18"/>
              </w:rPr>
              <w:t> </w:t>
            </w:r>
          </w:p>
        </w:tc>
      </w:tr>
      <w:tr w:rsidR="006520E3" w:rsidRPr="002A2064"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520E3" w:rsidRPr="002A2064" w:rsidRDefault="006520E3" w:rsidP="00137283">
            <w:pPr>
              <w:jc w:val="center"/>
              <w:rPr>
                <w:rFonts w:ascii="Calibri" w:hAnsi="Calibri"/>
                <w:b/>
                <w:bCs/>
                <w:color w:val="000000"/>
                <w:sz w:val="18"/>
                <w:szCs w:val="18"/>
              </w:rPr>
            </w:pPr>
            <w:r w:rsidRPr="002A2064">
              <w:rPr>
                <w:rFonts w:ascii="Calibri" w:hAnsi="Calibri"/>
                <w:b/>
                <w:bCs/>
                <w:color w:val="000000"/>
                <w:sz w:val="18"/>
                <w:szCs w:val="18"/>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6520E3" w:rsidRPr="002A2064" w:rsidRDefault="006520E3" w:rsidP="00137283">
            <w:pPr>
              <w:jc w:val="center"/>
              <w:rPr>
                <w:rFonts w:ascii="Calibri" w:hAnsi="Calibri"/>
                <w:b/>
                <w:bCs/>
                <w:color w:val="000000"/>
                <w:sz w:val="18"/>
                <w:szCs w:val="18"/>
              </w:rPr>
            </w:pPr>
            <w:r w:rsidRPr="002A2064">
              <w:rPr>
                <w:rFonts w:ascii="Calibri" w:hAnsi="Calibri"/>
                <w:b/>
                <w:bCs/>
                <w:color w:val="000000"/>
                <w:sz w:val="18"/>
                <w:szCs w:val="18"/>
              </w:rPr>
              <w:t>Monto</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Presupuesto de Egresos Aprobado</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-37,582,412,747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Presupuesto de Egresos por Ejercer</w:t>
            </w:r>
          </w:p>
        </w:tc>
        <w:tc>
          <w:tcPr>
            <w:tcW w:w="2180" w:type="dxa"/>
            <w:tcBorders>
              <w:top w:val="nil"/>
              <w:left w:val="nil"/>
              <w:bottom w:val="single" w:sz="4" w:space="0" w:color="auto"/>
              <w:right w:val="single" w:sz="4" w:space="0" w:color="auto"/>
            </w:tcBorders>
            <w:shd w:val="clear" w:color="000000" w:fill="FFFFFF"/>
          </w:tcPr>
          <w:p w:rsidR="006520E3" w:rsidRPr="002A2064" w:rsidRDefault="000B7DD7" w:rsidP="00137283">
            <w:pPr>
              <w:jc w:val="right"/>
              <w:rPr>
                <w:rFonts w:ascii="Arial" w:hAnsi="Arial" w:cs="Arial"/>
                <w:color w:val="000000"/>
                <w:sz w:val="17"/>
                <w:szCs w:val="17"/>
              </w:rPr>
            </w:pPr>
            <w:r w:rsidRPr="002A2064">
              <w:rPr>
                <w:rFonts w:ascii="Arial" w:hAnsi="Arial" w:cs="Arial"/>
                <w:color w:val="000000"/>
                <w:sz w:val="17"/>
                <w:szCs w:val="17"/>
              </w:rPr>
              <w:t>2,440,607,218</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Modificaciones al Presupuesto de Egresos Aprobado</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-3,130,592,227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Presupuesto de Egresos Comprometido</w:t>
            </w:r>
          </w:p>
        </w:tc>
        <w:tc>
          <w:tcPr>
            <w:tcW w:w="2180" w:type="dxa"/>
            <w:tcBorders>
              <w:top w:val="nil"/>
              <w:left w:val="nil"/>
              <w:bottom w:val="single" w:sz="4" w:space="0" w:color="auto"/>
              <w:right w:val="single" w:sz="4" w:space="0" w:color="auto"/>
            </w:tcBorders>
            <w:shd w:val="clear" w:color="000000" w:fill="FFFFFF"/>
          </w:tcPr>
          <w:p w:rsidR="006520E3" w:rsidRPr="002A2064" w:rsidRDefault="006520E3" w:rsidP="000B7DD7">
            <w:pPr>
              <w:jc w:val="right"/>
              <w:rPr>
                <w:rFonts w:ascii="Arial" w:hAnsi="Arial" w:cs="Arial"/>
                <w:color w:val="000000"/>
                <w:sz w:val="17"/>
                <w:szCs w:val="17"/>
              </w:rPr>
            </w:pPr>
            <w:r w:rsidRPr="002A2064">
              <w:rPr>
                <w:rFonts w:ascii="Arial" w:hAnsi="Arial" w:cs="Arial"/>
                <w:color w:val="000000"/>
                <w:sz w:val="17"/>
                <w:szCs w:val="17"/>
              </w:rPr>
              <w:t xml:space="preserve"> </w:t>
            </w:r>
            <w:r w:rsidR="000B7DD7" w:rsidRPr="002A2064">
              <w:rPr>
                <w:rFonts w:ascii="Arial" w:hAnsi="Arial" w:cs="Arial"/>
                <w:color w:val="000000"/>
                <w:sz w:val="17"/>
                <w:szCs w:val="17"/>
              </w:rPr>
              <w:t>-</w:t>
            </w:r>
            <w:r w:rsidRPr="002A2064">
              <w:rPr>
                <w:rFonts w:ascii="Arial" w:hAnsi="Arial" w:cs="Arial"/>
                <w:color w:val="000000"/>
                <w:sz w:val="17"/>
                <w:szCs w:val="17"/>
              </w:rPr>
              <w:t xml:space="preserve">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Presupuesto de Egresos Devengado</w:t>
            </w:r>
          </w:p>
        </w:tc>
        <w:tc>
          <w:tcPr>
            <w:tcW w:w="2180" w:type="dxa"/>
            <w:tcBorders>
              <w:top w:val="nil"/>
              <w:left w:val="nil"/>
              <w:bottom w:val="single" w:sz="4" w:space="0" w:color="auto"/>
              <w:right w:val="single" w:sz="4" w:space="0" w:color="auto"/>
            </w:tcBorders>
            <w:shd w:val="clear" w:color="000000" w:fill="FFFFFF"/>
          </w:tcPr>
          <w:p w:rsidR="006520E3" w:rsidRPr="002A2064" w:rsidRDefault="000B7DD7" w:rsidP="00137283">
            <w:pPr>
              <w:jc w:val="right"/>
              <w:rPr>
                <w:rFonts w:ascii="Arial" w:hAnsi="Arial" w:cs="Arial"/>
                <w:color w:val="000000"/>
                <w:sz w:val="17"/>
                <w:szCs w:val="17"/>
              </w:rPr>
            </w:pPr>
            <w:r w:rsidRPr="002A2064">
              <w:rPr>
                <w:rFonts w:ascii="Arial" w:hAnsi="Arial" w:cs="Arial"/>
                <w:color w:val="000000"/>
                <w:sz w:val="17"/>
                <w:szCs w:val="17"/>
              </w:rPr>
              <w:t>-</w:t>
            </w:r>
            <w:r w:rsidR="006520E3" w:rsidRPr="002A2064">
              <w:rPr>
                <w:rFonts w:ascii="Arial" w:hAnsi="Arial" w:cs="Arial"/>
                <w:color w:val="000000"/>
                <w:sz w:val="17"/>
                <w:szCs w:val="17"/>
              </w:rPr>
              <w:t xml:space="preserve"> </w:t>
            </w:r>
          </w:p>
        </w:tc>
      </w:tr>
      <w:tr w:rsidR="006520E3" w:rsidRPr="002A2064" w:rsidTr="0013728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Presupuesto de Egresos Ejercido</w:t>
            </w:r>
          </w:p>
        </w:tc>
        <w:tc>
          <w:tcPr>
            <w:tcW w:w="2180" w:type="dxa"/>
            <w:tcBorders>
              <w:top w:val="nil"/>
              <w:left w:val="nil"/>
              <w:bottom w:val="single" w:sz="4" w:space="0" w:color="auto"/>
              <w:right w:val="single" w:sz="4" w:space="0" w:color="auto"/>
            </w:tcBorders>
            <w:shd w:val="clear" w:color="000000" w:fill="FFFFFF"/>
          </w:tcPr>
          <w:p w:rsidR="006520E3" w:rsidRPr="002A2064" w:rsidRDefault="000B7DD7" w:rsidP="00137283">
            <w:pPr>
              <w:jc w:val="right"/>
              <w:rPr>
                <w:rFonts w:ascii="Arial" w:hAnsi="Arial" w:cs="Arial"/>
                <w:color w:val="000000"/>
                <w:sz w:val="17"/>
                <w:szCs w:val="17"/>
              </w:rPr>
            </w:pPr>
            <w:r w:rsidRPr="002A2064">
              <w:rPr>
                <w:rFonts w:ascii="Arial" w:hAnsi="Arial" w:cs="Arial"/>
                <w:color w:val="000000"/>
                <w:sz w:val="17"/>
                <w:szCs w:val="17"/>
              </w:rPr>
              <w:t>60,739,674</w:t>
            </w:r>
          </w:p>
        </w:tc>
      </w:tr>
      <w:tr w:rsidR="006520E3" w:rsidRPr="002A2064" w:rsidTr="0013728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20E3" w:rsidRPr="002A2064" w:rsidRDefault="006520E3" w:rsidP="00137283">
            <w:pPr>
              <w:rPr>
                <w:rFonts w:ascii="Arial" w:hAnsi="Arial" w:cs="Arial"/>
                <w:color w:val="000000"/>
                <w:sz w:val="17"/>
                <w:szCs w:val="17"/>
              </w:rPr>
            </w:pPr>
            <w:r w:rsidRPr="002A2064">
              <w:rPr>
                <w:rFonts w:ascii="Arial" w:hAnsi="Arial" w:cs="Arial"/>
                <w:color w:val="000000"/>
                <w:sz w:val="17"/>
                <w:szCs w:val="17"/>
              </w:rPr>
              <w:t>Presupuesto de Egresos Pagado</w:t>
            </w:r>
          </w:p>
        </w:tc>
        <w:tc>
          <w:tcPr>
            <w:tcW w:w="2180" w:type="dxa"/>
            <w:tcBorders>
              <w:top w:val="nil"/>
              <w:left w:val="nil"/>
              <w:bottom w:val="single" w:sz="4" w:space="0" w:color="auto"/>
              <w:right w:val="single" w:sz="4" w:space="0" w:color="auto"/>
            </w:tcBorders>
            <w:shd w:val="clear" w:color="000000" w:fill="FFFFFF"/>
          </w:tcPr>
          <w:p w:rsidR="006520E3" w:rsidRPr="002A2064" w:rsidRDefault="000B7DD7" w:rsidP="00137283">
            <w:pPr>
              <w:jc w:val="right"/>
              <w:rPr>
                <w:rFonts w:ascii="Arial" w:hAnsi="Arial" w:cs="Arial"/>
                <w:color w:val="000000"/>
                <w:sz w:val="17"/>
                <w:szCs w:val="17"/>
              </w:rPr>
            </w:pPr>
            <w:r w:rsidRPr="002A2064">
              <w:rPr>
                <w:rFonts w:ascii="Arial" w:hAnsi="Arial" w:cs="Arial"/>
                <w:color w:val="000000"/>
                <w:sz w:val="17"/>
                <w:szCs w:val="17"/>
              </w:rPr>
              <w:t>38,211,658,082</w:t>
            </w:r>
          </w:p>
        </w:tc>
      </w:tr>
      <w:tr w:rsidR="006520E3" w:rsidRPr="000B7DD7" w:rsidTr="00137283">
        <w:trPr>
          <w:trHeight w:val="240"/>
          <w:jc w:val="center"/>
        </w:trPr>
        <w:tc>
          <w:tcPr>
            <w:tcW w:w="4900" w:type="dxa"/>
            <w:tcBorders>
              <w:top w:val="single" w:sz="4" w:space="0" w:color="auto"/>
              <w:right w:val="single" w:sz="4" w:space="0" w:color="auto"/>
            </w:tcBorders>
            <w:shd w:val="clear" w:color="000000" w:fill="FFFFFF"/>
            <w:vAlign w:val="center"/>
            <w:hideMark/>
          </w:tcPr>
          <w:p w:rsidR="006520E3" w:rsidRPr="002A2064" w:rsidRDefault="006520E3" w:rsidP="00137283">
            <w:pPr>
              <w:jc w:val="center"/>
              <w:rPr>
                <w:rFonts w:ascii="Arial" w:hAnsi="Arial" w:cs="Arial"/>
                <w:b/>
                <w:bCs/>
                <w:color w:val="000000"/>
                <w:sz w:val="17"/>
                <w:szCs w:val="17"/>
              </w:rPr>
            </w:pPr>
            <w:r w:rsidRPr="002A2064">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6520E3" w:rsidRPr="000B7DD7" w:rsidRDefault="006520E3" w:rsidP="00137283">
            <w:pPr>
              <w:jc w:val="right"/>
              <w:rPr>
                <w:rFonts w:ascii="Arial" w:hAnsi="Arial" w:cs="Arial"/>
                <w:color w:val="000000"/>
                <w:sz w:val="17"/>
                <w:szCs w:val="17"/>
              </w:rPr>
            </w:pPr>
            <w:r w:rsidRPr="002A2064">
              <w:rPr>
                <w:rFonts w:ascii="Arial" w:hAnsi="Arial" w:cs="Arial"/>
                <w:color w:val="000000"/>
                <w:sz w:val="17"/>
                <w:szCs w:val="17"/>
              </w:rPr>
              <w:t xml:space="preserve"> -</w:t>
            </w:r>
            <w:r w:rsidRPr="000B7DD7">
              <w:rPr>
                <w:rFonts w:ascii="Arial" w:hAnsi="Arial" w:cs="Arial"/>
                <w:color w:val="000000"/>
                <w:sz w:val="17"/>
                <w:szCs w:val="17"/>
              </w:rPr>
              <w:t xml:space="preserve">   </w:t>
            </w:r>
          </w:p>
        </w:tc>
      </w:tr>
    </w:tbl>
    <w:p w:rsidR="006520E3" w:rsidRDefault="006520E3" w:rsidP="006520E3">
      <w:pPr>
        <w:pStyle w:val="Prrafodelista"/>
        <w:autoSpaceDE w:val="0"/>
        <w:autoSpaceDN w:val="0"/>
        <w:adjustRightInd w:val="0"/>
        <w:spacing w:before="240" w:after="120"/>
        <w:jc w:val="both"/>
        <w:rPr>
          <w:rFonts w:ascii="Arial" w:hAnsi="Arial" w:cs="Arial"/>
          <w:b/>
          <w:sz w:val="17"/>
          <w:szCs w:val="17"/>
        </w:rPr>
      </w:pPr>
    </w:p>
    <w:p w:rsidR="00BE6FB8" w:rsidRPr="001C6DCB" w:rsidRDefault="00BE6FB8" w:rsidP="00BE6FB8">
      <w:pPr>
        <w:pStyle w:val="Prrafodelista"/>
        <w:numPr>
          <w:ilvl w:val="0"/>
          <w:numId w:val="22"/>
        </w:numPr>
        <w:autoSpaceDE w:val="0"/>
        <w:autoSpaceDN w:val="0"/>
        <w:adjustRightInd w:val="0"/>
        <w:spacing w:before="240" w:after="120"/>
        <w:jc w:val="both"/>
        <w:rPr>
          <w:rFonts w:ascii="Arial" w:hAnsi="Arial" w:cs="Arial"/>
          <w:b/>
          <w:sz w:val="17"/>
          <w:szCs w:val="17"/>
        </w:rPr>
      </w:pPr>
      <w:r w:rsidRPr="001C6DCB">
        <w:rPr>
          <w:rFonts w:ascii="Arial" w:hAnsi="Arial" w:cs="Arial"/>
          <w:b/>
          <w:sz w:val="17"/>
          <w:szCs w:val="17"/>
        </w:rPr>
        <w:t>Cuentas de orden presupuestario</w:t>
      </w:r>
    </w:p>
    <w:p w:rsidR="00BE6FB8" w:rsidRDefault="00BE6FB8" w:rsidP="00BE6FB8">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Se informa del monto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 de las cuentas de cierre presupuestario:</w:t>
      </w:r>
    </w:p>
    <w:p w:rsidR="00BE6FB8" w:rsidRDefault="00BE6FB8" w:rsidP="00BE6FB8">
      <w:pPr>
        <w:spacing w:before="80" w:line="250" w:lineRule="exact"/>
        <w:ind w:left="709"/>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Pr>
      <w:tblGrid>
        <w:gridCol w:w="4900"/>
        <w:gridCol w:w="2180"/>
      </w:tblGrid>
      <w:tr w:rsidR="00BE6FB8" w:rsidRPr="00BC133F" w:rsidTr="004826A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E6FB8" w:rsidRPr="00BC133F" w:rsidRDefault="00BE6FB8" w:rsidP="004826A3">
            <w:pPr>
              <w:jc w:val="center"/>
              <w:rPr>
                <w:rFonts w:ascii="Calibri" w:hAnsi="Calibri"/>
                <w:b/>
                <w:bCs/>
                <w:color w:val="000000"/>
                <w:sz w:val="18"/>
                <w:szCs w:val="18"/>
              </w:rPr>
            </w:pPr>
            <w:r w:rsidRPr="00BC133F">
              <w:rPr>
                <w:rFonts w:ascii="Calibri" w:hAnsi="Calibri"/>
                <w:b/>
                <w:bCs/>
                <w:color w:val="000000"/>
                <w:sz w:val="18"/>
                <w:szCs w:val="18"/>
              </w:rPr>
              <w:t> </w:t>
            </w:r>
          </w:p>
        </w:tc>
        <w:tc>
          <w:tcPr>
            <w:tcW w:w="2180" w:type="dxa"/>
            <w:tcBorders>
              <w:top w:val="single" w:sz="4" w:space="0" w:color="auto"/>
              <w:left w:val="nil"/>
              <w:bottom w:val="single" w:sz="4" w:space="0" w:color="auto"/>
              <w:right w:val="single" w:sz="4" w:space="0" w:color="auto"/>
            </w:tcBorders>
            <w:shd w:val="clear" w:color="auto" w:fill="D5DCE4"/>
            <w:vAlign w:val="center"/>
            <w:hideMark/>
          </w:tcPr>
          <w:p w:rsidR="00BE6FB8" w:rsidRPr="00BC133F" w:rsidRDefault="00BE6FB8" w:rsidP="004826A3">
            <w:pPr>
              <w:jc w:val="center"/>
              <w:rPr>
                <w:rFonts w:ascii="Calibri" w:hAnsi="Calibri"/>
                <w:b/>
                <w:bCs/>
                <w:color w:val="000000"/>
                <w:sz w:val="18"/>
                <w:szCs w:val="18"/>
              </w:rPr>
            </w:pPr>
            <w:r w:rsidRPr="00BC133F">
              <w:rPr>
                <w:rFonts w:ascii="Calibri" w:hAnsi="Calibri"/>
                <w:b/>
                <w:bCs/>
                <w:color w:val="000000"/>
                <w:sz w:val="18"/>
                <w:szCs w:val="18"/>
              </w:rPr>
              <w:t>Monto</w:t>
            </w:r>
          </w:p>
        </w:tc>
      </w:tr>
      <w:tr w:rsidR="00BE6FB8" w:rsidRPr="00BE6FB8" w:rsidTr="004826A3">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BE6FB8" w:rsidRPr="002A2064" w:rsidRDefault="002A2064" w:rsidP="004826A3">
            <w:pPr>
              <w:rPr>
                <w:rFonts w:ascii="Arial" w:hAnsi="Arial" w:cs="Arial"/>
                <w:color w:val="000000"/>
                <w:sz w:val="17"/>
                <w:szCs w:val="17"/>
              </w:rPr>
            </w:pPr>
            <w:r w:rsidRPr="002A2064">
              <w:rPr>
                <w:rFonts w:ascii="Arial" w:hAnsi="Arial" w:cs="Arial"/>
                <w:color w:val="000000"/>
                <w:sz w:val="17"/>
                <w:szCs w:val="17"/>
              </w:rPr>
              <w:t>Déficit</w:t>
            </w:r>
            <w:r w:rsidR="00BE6FB8" w:rsidRPr="002A2064">
              <w:rPr>
                <w:rFonts w:ascii="Arial" w:hAnsi="Arial" w:cs="Arial"/>
                <w:color w:val="000000"/>
                <w:sz w:val="17"/>
                <w:szCs w:val="17"/>
              </w:rPr>
              <w:t xml:space="preserve"> Financiero</w:t>
            </w:r>
          </w:p>
        </w:tc>
        <w:tc>
          <w:tcPr>
            <w:tcW w:w="2180" w:type="dxa"/>
            <w:tcBorders>
              <w:top w:val="nil"/>
              <w:left w:val="nil"/>
              <w:bottom w:val="single" w:sz="4" w:space="0" w:color="auto"/>
              <w:right w:val="single" w:sz="4" w:space="0" w:color="auto"/>
            </w:tcBorders>
            <w:shd w:val="clear" w:color="000000" w:fill="FFFFFF"/>
          </w:tcPr>
          <w:p w:rsidR="00BE6FB8" w:rsidRPr="002A2064" w:rsidRDefault="00395FE6" w:rsidP="004826A3">
            <w:pPr>
              <w:jc w:val="right"/>
              <w:rPr>
                <w:rFonts w:ascii="Arial" w:hAnsi="Arial" w:cs="Arial"/>
                <w:color w:val="000000"/>
                <w:sz w:val="17"/>
                <w:szCs w:val="17"/>
              </w:rPr>
            </w:pPr>
            <w:r w:rsidRPr="002A2064">
              <w:rPr>
                <w:rFonts w:ascii="Arial" w:hAnsi="Arial" w:cs="Arial"/>
                <w:color w:val="000000"/>
                <w:sz w:val="17"/>
                <w:szCs w:val="17"/>
              </w:rPr>
              <w:t>472,271,262</w:t>
            </w:r>
            <w:r w:rsidR="00BE6FB8" w:rsidRPr="002A2064">
              <w:rPr>
                <w:rFonts w:ascii="Arial" w:hAnsi="Arial" w:cs="Arial"/>
                <w:color w:val="000000"/>
                <w:sz w:val="17"/>
                <w:szCs w:val="17"/>
              </w:rPr>
              <w:t xml:space="preserve"> </w:t>
            </w:r>
          </w:p>
        </w:tc>
      </w:tr>
    </w:tbl>
    <w:p w:rsidR="006520E3" w:rsidRPr="00BE6FB8" w:rsidRDefault="00BE6FB8" w:rsidP="006520E3">
      <w:pPr>
        <w:pStyle w:val="Prrafodelista"/>
        <w:autoSpaceDE w:val="0"/>
        <w:autoSpaceDN w:val="0"/>
        <w:adjustRightInd w:val="0"/>
        <w:spacing w:before="240" w:after="120"/>
        <w:jc w:val="both"/>
        <w:rPr>
          <w:rFonts w:ascii="Arial" w:eastAsia="Calibri" w:hAnsi="Arial" w:cs="Arial"/>
          <w:spacing w:val="-1"/>
          <w:sz w:val="17"/>
          <w:szCs w:val="17"/>
        </w:rPr>
      </w:pPr>
      <w:r w:rsidRPr="003A7AEE">
        <w:rPr>
          <w:rFonts w:ascii="Arial" w:eastAsia="Calibri" w:hAnsi="Arial" w:cs="Arial"/>
          <w:spacing w:val="-1"/>
          <w:sz w:val="17"/>
          <w:szCs w:val="17"/>
        </w:rPr>
        <w:t>Se in</w:t>
      </w:r>
      <w:r w:rsidR="00292AEC" w:rsidRPr="003A7AEE">
        <w:rPr>
          <w:rFonts w:ascii="Arial" w:eastAsia="Calibri" w:hAnsi="Arial" w:cs="Arial"/>
          <w:spacing w:val="-1"/>
          <w:sz w:val="17"/>
          <w:szCs w:val="17"/>
        </w:rPr>
        <w:t>forma los ahorros presupuestarios</w:t>
      </w:r>
      <w:r w:rsidRPr="003A7AEE">
        <w:rPr>
          <w:rFonts w:ascii="Arial" w:eastAsia="Calibri" w:hAnsi="Arial" w:cs="Arial"/>
          <w:spacing w:val="-1"/>
          <w:sz w:val="17"/>
          <w:szCs w:val="17"/>
        </w:rPr>
        <w:t xml:space="preserve"> acumulados y disponibles, con los cuales</w:t>
      </w:r>
      <w:r w:rsidR="00292AEC" w:rsidRPr="003A7AEE">
        <w:rPr>
          <w:rFonts w:ascii="Arial" w:eastAsia="Calibri" w:hAnsi="Arial" w:cs="Arial"/>
          <w:spacing w:val="-1"/>
          <w:sz w:val="17"/>
          <w:szCs w:val="17"/>
        </w:rPr>
        <w:t xml:space="preserve"> cerró el ejercicio presupuestario</w:t>
      </w:r>
      <w:r w:rsidRPr="003A7AEE">
        <w:rPr>
          <w:rFonts w:ascii="Arial" w:eastAsia="Calibri" w:hAnsi="Arial" w:cs="Arial"/>
          <w:spacing w:val="-1"/>
          <w:sz w:val="17"/>
          <w:szCs w:val="17"/>
        </w:rPr>
        <w:t xml:space="preserve"> inmediato anterior es de </w:t>
      </w:r>
      <w:r w:rsidR="00395FE6" w:rsidRPr="003A7AEE">
        <w:rPr>
          <w:rFonts w:ascii="Arial" w:eastAsia="Calibri" w:hAnsi="Arial" w:cs="Arial"/>
          <w:spacing w:val="-1"/>
          <w:sz w:val="17"/>
          <w:szCs w:val="17"/>
        </w:rPr>
        <w:t>5</w:t>
      </w:r>
      <w:proofErr w:type="gramStart"/>
      <w:r w:rsidR="00395FE6" w:rsidRPr="003A7AEE">
        <w:rPr>
          <w:rFonts w:ascii="Arial" w:eastAsia="Calibri" w:hAnsi="Arial" w:cs="Arial"/>
          <w:spacing w:val="-1"/>
          <w:sz w:val="17"/>
          <w:szCs w:val="17"/>
        </w:rPr>
        <w:t>,950,611,648</w:t>
      </w:r>
      <w:proofErr w:type="gramEnd"/>
      <w:r w:rsidRPr="003A7AEE">
        <w:rPr>
          <w:rFonts w:ascii="Arial" w:eastAsia="Calibri" w:hAnsi="Arial" w:cs="Arial"/>
          <w:spacing w:val="-1"/>
          <w:sz w:val="17"/>
          <w:szCs w:val="17"/>
        </w:rPr>
        <w:t>.</w:t>
      </w:r>
    </w:p>
    <w:p w:rsidR="006520E3" w:rsidRPr="00C16D1B" w:rsidRDefault="006520E3" w:rsidP="006520E3">
      <w:pPr>
        <w:rPr>
          <w:rFonts w:ascii="Arial" w:eastAsia="Calibri" w:hAnsi="Arial" w:cs="Arial"/>
          <w:spacing w:val="-1"/>
          <w:sz w:val="17"/>
          <w:szCs w:val="17"/>
        </w:rPr>
      </w:pPr>
    </w:p>
    <w:p w:rsidR="006520E3" w:rsidRDefault="006520E3" w:rsidP="006520E3">
      <w:pPr>
        <w:rPr>
          <w:rFonts w:ascii="Arial" w:eastAsia="Calibri" w:hAnsi="Arial" w:cs="Arial"/>
          <w:spacing w:val="-1"/>
          <w:sz w:val="17"/>
          <w:szCs w:val="17"/>
        </w:rPr>
      </w:pPr>
      <w:r>
        <w:rPr>
          <w:rFonts w:ascii="Arial" w:eastAsia="Calibri" w:hAnsi="Arial" w:cs="Arial"/>
          <w:spacing w:val="-1"/>
          <w:sz w:val="17"/>
          <w:szCs w:val="17"/>
        </w:rPr>
        <w:br w:type="page"/>
      </w:r>
    </w:p>
    <w:p w:rsidR="006520E3" w:rsidRPr="002D70DA" w:rsidRDefault="006520E3" w:rsidP="006520E3">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lastRenderedPageBreak/>
        <w:t xml:space="preserve">Notas de </w:t>
      </w:r>
      <w:r>
        <w:rPr>
          <w:rFonts w:ascii="Arial" w:hAnsi="Arial" w:cs="Arial"/>
          <w:b/>
          <w:sz w:val="17"/>
          <w:szCs w:val="17"/>
        </w:rPr>
        <w:t>Gestión Administrativa</w:t>
      </w:r>
      <w:r w:rsidRPr="002D70DA">
        <w:rPr>
          <w:rFonts w:ascii="Arial" w:hAnsi="Arial" w:cs="Arial"/>
          <w:b/>
          <w:sz w:val="17"/>
          <w:szCs w:val="17"/>
        </w:rPr>
        <w:t>:</w:t>
      </w:r>
    </w:p>
    <w:p w:rsidR="006520E3" w:rsidRPr="00A67440"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Introducción</w:t>
      </w:r>
    </w:p>
    <w:p w:rsidR="006520E3" w:rsidRPr="00797197"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Los Estados Financieros de los entes públicos, proveen de información financiera a los principales usuarios de la misma, entre ellos está la H. Legislatura del Estado de Querétaro, así como la ciudadanía en general que demanda información sobre la situación contable del Poder Ejecutivo del Estado de Querétaro.</w:t>
      </w:r>
    </w:p>
    <w:p w:rsidR="006520E3" w:rsidRPr="00797197"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objetivo del presente documento es la revelación del contexto y de los aspectos económicos</w:t>
      </w:r>
      <w:r>
        <w:rPr>
          <w:rFonts w:ascii="Arial" w:eastAsia="Calibri" w:hAnsi="Arial" w:cs="Arial"/>
          <w:spacing w:val="-1"/>
          <w:sz w:val="17"/>
          <w:szCs w:val="17"/>
        </w:rPr>
        <w:t xml:space="preserve"> </w:t>
      </w:r>
      <w:r w:rsidRPr="00797197">
        <w:rPr>
          <w:rFonts w:ascii="Arial" w:eastAsia="Calibri" w:hAnsi="Arial" w:cs="Arial"/>
          <w:spacing w:val="-1"/>
          <w:sz w:val="17"/>
          <w:szCs w:val="17"/>
        </w:rPr>
        <w:t xml:space="preserve">financieros más relevantes que influyeron en las decisiones del período, que comprende del 1 de </w:t>
      </w:r>
      <w:r>
        <w:rPr>
          <w:rFonts w:ascii="Arial" w:eastAsia="Calibri" w:hAnsi="Arial" w:cs="Arial"/>
          <w:spacing w:val="-1"/>
          <w:sz w:val="17"/>
          <w:szCs w:val="17"/>
        </w:rPr>
        <w:t>enero</w:t>
      </w:r>
      <w:r w:rsidRPr="00797197">
        <w:rPr>
          <w:rFonts w:ascii="Arial" w:eastAsia="Calibri" w:hAnsi="Arial" w:cs="Arial"/>
          <w:spacing w:val="-1"/>
          <w:sz w:val="17"/>
          <w:szCs w:val="17"/>
        </w:rPr>
        <w:t xml:space="preserve">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797197">
        <w:rPr>
          <w:rFonts w:ascii="Arial" w:eastAsia="Calibri" w:hAnsi="Arial" w:cs="Arial"/>
          <w:spacing w:val="-1"/>
          <w:sz w:val="17"/>
          <w:szCs w:val="17"/>
        </w:rPr>
        <w:t>, y que se conside</w:t>
      </w:r>
      <w:r w:rsidR="003B08AF">
        <w:rPr>
          <w:rFonts w:ascii="Arial" w:eastAsia="Calibri" w:hAnsi="Arial" w:cs="Arial"/>
          <w:spacing w:val="-1"/>
          <w:sz w:val="17"/>
          <w:szCs w:val="17"/>
        </w:rPr>
        <w:t>raron en la elaboración de los Estados F</w:t>
      </w:r>
      <w:r w:rsidRPr="00797197">
        <w:rPr>
          <w:rFonts w:ascii="Arial" w:eastAsia="Calibri" w:hAnsi="Arial" w:cs="Arial"/>
          <w:spacing w:val="-1"/>
          <w:sz w:val="17"/>
          <w:szCs w:val="17"/>
        </w:rPr>
        <w:t>inancieros para la mayor comprensión de los mismos y sus particularidades.</w:t>
      </w:r>
    </w:p>
    <w:p w:rsidR="006520E3"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6520E3" w:rsidRPr="00A67440" w:rsidRDefault="006520E3" w:rsidP="006520E3">
      <w:pPr>
        <w:spacing w:before="120" w:after="120" w:line="240" w:lineRule="exact"/>
        <w:jc w:val="both"/>
        <w:rPr>
          <w:rFonts w:ascii="Arial" w:eastAsia="Calibri" w:hAnsi="Arial" w:cs="Arial"/>
          <w:spacing w:val="-1"/>
          <w:sz w:val="17"/>
          <w:szCs w:val="17"/>
        </w:rPr>
      </w:pPr>
    </w:p>
    <w:p w:rsidR="006520E3" w:rsidRPr="00B84F0E"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807759">
        <w:rPr>
          <w:rFonts w:ascii="Arial" w:eastAsia="Calibri" w:hAnsi="Arial" w:cs="Arial"/>
          <w:b/>
          <w:spacing w:val="-1"/>
          <w:sz w:val="17"/>
          <w:szCs w:val="17"/>
        </w:rPr>
        <w:t>Panorama Económico y Financiero</w:t>
      </w:r>
    </w:p>
    <w:p w:rsid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Según el último informe trimestral del Banco de México (BANXICO) correspondiente al tercer trimestre de 2019 (3T-2019) emitido el pasado 27 de noviembre de 2019, señala que las condiciones externas presentadas continuaron con la desaceleración de la economía mundial y sus perspectivas de crecimiento han seguido revisándose a la baja. La desaceleración refleja los efectos de las prolongadas tensiones comerciales, los elevados riesgos geopolíticos y algunos factores idiosincrásicos en varias economías. Los mercados laborales de economías avanzadas continúan mostrando fortaleza y los salarios han aumentado a un ritmo moderado. En este contexto, las inflaciones general y subyacente se mantuvieron en niveles reducidos en la mayoría de las economías avanzadas, manteniéndose así por debajo de la meta de sus respectivos bancos centrales. Así, algunos de los principales bancos centrales, tanto de las economías avanzadas como de las emergentes, implementaron acciones de relajamiento monetario. Los precios de los activos financieros presenta</w:t>
      </w:r>
      <w:r>
        <w:rPr>
          <w:rFonts w:ascii="Arial" w:eastAsia="Calibri" w:hAnsi="Arial" w:cs="Arial"/>
          <w:spacing w:val="-1"/>
          <w:sz w:val="17"/>
          <w:szCs w:val="17"/>
        </w:rPr>
        <w:t>ron fluctuaciones significativa</w:t>
      </w:r>
      <w:r w:rsidRPr="00554ED1">
        <w:rPr>
          <w:rFonts w:ascii="Arial" w:eastAsia="Calibri" w:hAnsi="Arial" w:cs="Arial"/>
          <w:spacing w:val="-1"/>
          <w:sz w:val="17"/>
          <w:szCs w:val="17"/>
        </w:rPr>
        <w:t xml:space="preserve">s derivadas principalmente de los altibajos en las tensiones comerciales y la evolución de las negociaciones sobre el </w:t>
      </w:r>
      <w:proofErr w:type="spellStart"/>
      <w:r w:rsidRPr="00554ED1">
        <w:rPr>
          <w:rFonts w:ascii="Arial" w:eastAsia="Calibri" w:hAnsi="Arial" w:cs="Arial"/>
          <w:spacing w:val="-1"/>
          <w:sz w:val="17"/>
          <w:szCs w:val="17"/>
        </w:rPr>
        <w:t>Brexit</w:t>
      </w:r>
      <w:proofErr w:type="spellEnd"/>
      <w:r w:rsidRPr="00554ED1">
        <w:rPr>
          <w:rFonts w:ascii="Arial" w:eastAsia="Calibri" w:hAnsi="Arial" w:cs="Arial"/>
          <w:spacing w:val="-1"/>
          <w:sz w:val="17"/>
          <w:szCs w:val="17"/>
        </w:rPr>
        <w:t>. No obstante, recientemente estos riesgos se han atenuado. Ello y las posturas monetarias acomodaticias han contribuido a un mejor desempeño de los mercados. Las tensiones comerciales y su efecto en el crecimiento global y el relajamiento de las condiciones financieras globales han afectado la composición de los flujos de capital, con contracciones en renta variable y aumentos en renta fija, así como con episodios de volati</w:t>
      </w:r>
      <w:r>
        <w:rPr>
          <w:rFonts w:ascii="Arial" w:eastAsia="Calibri" w:hAnsi="Arial" w:cs="Arial"/>
          <w:spacing w:val="-1"/>
          <w:sz w:val="17"/>
          <w:szCs w:val="17"/>
        </w:rPr>
        <w:t>lidad en el apetito por riesgo.</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Con respecto a la evolución de la Economía Mexicana, BANXICO informa que en el 3T-2019 la actividad económica de México mostró un estancamiento, luego de registrar ligeras caídas entre el 4T-2018 y el 2T-2019. Dicho comportamiento reflejó una pérdida de dinamismo de la demanda agregada, en un contexto en el que prevaleció la incertidumbre asociada tanto a factores externos, como internos. La actividad industrial siguió mostrando un desempeño desfavorable, mientras que el sector servicios ha exhibido atonía. En cuanto al desempeño de la demanda interna, el consumo privado continuó mostrando debilidad. Ello como consecuencia de una desaceleración del consumo de servicios y de bienes, especialmente de origen importado. Por su parte, las remesas y la masa salarial real han mostrado una tendencia creciente. Con relación a la inversión fija bruta, prevaleció el desempeño desfavorable que este indicador ha venido registrando desde el 2S-2015 y especialmente desde inicios de 2018, como reflejo del menor gasto en maquinaria y equipo y de la debilidad de la construcción. En el 3T-2019, las exportaciones manufactureras mostraron una pérdida de dinamismo respecto del crecimiento exhibido en el 2T, en congruencia con el entorno de tensiones comerciales y de desaceleración del comercio mundial, especialmente de la producción manufacturera. En el 3T-2019, las fuentes de recursos financieros de la economía continuaron creciendo a un ritmo bajo con respecto a lo observado en años anteriores, reflejando a su interior una tasa de crecimiento menor de las fuentes externas y un ligero repunte de las internas. En el 3T-2019, tanto la tasa de desocupación nacional, como la urbana, siguieron mostrando niveles superiores a los reportados en 2018. Entre los factores que los empresarios y analistas consideran que podrían limitar el crecimiento destacan los relacionados con la gobernanza. En caso de tener avances en algunos problemas que por años han afectado a la economía, como el estado de derecho (corrupción, inseguridad e impunidad), se propiciaría un entorno que permitiría impulsar el crecimiento.</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lastRenderedPageBreak/>
        <w:t xml:space="preserve">BANXICO menciona en su informe en el 3T-2019, que la inflación general anual mostró una tendencia descendente. Así, mientras que en el 2T-2019 la inflación general anual promedio fue 4.21%, en el 3T se ubicó en 3.31%, registrando 3.10% en la 1Q-Nov. Este comportamiento es atribuible al importante descenso que ha exhibido la inflación no subyacente anual. Por su parte, la inflación subyacente anual continuó presentando persistencia, si bien recientemente mostró cierta reducción. En días pasados la inflación anual de México en 2019 apunta a cerrar este año como la segunda más baja del actual siglo. Al cierre de la primera quincena de </w:t>
      </w:r>
      <w:r w:rsidR="0050443D">
        <w:rPr>
          <w:rFonts w:ascii="Arial" w:eastAsia="Calibri" w:hAnsi="Arial" w:cs="Arial"/>
          <w:spacing w:val="-1"/>
          <w:sz w:val="17"/>
          <w:szCs w:val="17"/>
        </w:rPr>
        <w:t>Diciembre</w:t>
      </w:r>
      <w:r w:rsidRPr="00554ED1">
        <w:rPr>
          <w:rFonts w:ascii="Arial" w:eastAsia="Calibri" w:hAnsi="Arial" w:cs="Arial"/>
          <w:spacing w:val="-1"/>
          <w:sz w:val="17"/>
          <w:szCs w:val="17"/>
        </w:rPr>
        <w:t xml:space="preserve">, el indicador se ubica en 2.63 por ciento, según datos del Instituto Nacional de Estadística y Geografía (INEGI). De acuerdo con la última encuesta a especialistas del Banco de México, el promedio espera que el indicador cierre el año en 2.92 por ciento. De confirmarse estos datos, la inflación de todo 2019 será la segunda menor desde el 2000, solo superada por el 2.13 por ciento de 2015. La caída en el indicador ha sido impulsada, según el BANXICO, por menores variaciones en los precios de los energéticos, y en algunos productos agropecuarios. De hecho, a la primera quincena de </w:t>
      </w:r>
      <w:r w:rsidR="0050443D">
        <w:rPr>
          <w:rFonts w:ascii="Arial" w:eastAsia="Calibri" w:hAnsi="Arial" w:cs="Arial"/>
          <w:spacing w:val="-1"/>
          <w:sz w:val="17"/>
          <w:szCs w:val="17"/>
        </w:rPr>
        <w:t>Diciembre</w:t>
      </w:r>
      <w:r w:rsidRPr="00554ED1">
        <w:rPr>
          <w:rFonts w:ascii="Arial" w:eastAsia="Calibri" w:hAnsi="Arial" w:cs="Arial"/>
          <w:spacing w:val="-1"/>
          <w:sz w:val="17"/>
          <w:szCs w:val="17"/>
        </w:rPr>
        <w:t xml:space="preserve"> los energéticos no sólo han subido, sino que han caído 0.08 por ciento anual, mientras que los productos agropecuarios lo han hecho en 0.17 por ciento, según cifras del INEGI. Para el siguiente año, el Banco Central estima que la inflación se mantenga en niveles cercanos al 3 por ciento, dentro del rango objetivo de la institución de 3 por ciento +/- un punto porcentual.</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Sobre la conducción de la Política Monetaria, la Junta de Gobierno de BANXICO durante las reuniones de los pasados meses de agosto, septiembre y noviembre se llevaron a cabo reducciones en cada una de ellas de 25pb en la Tasa, llegando a un nivel de 7.50%. En los comunicados de las reuniones se destacó que dichas reducciones se derivaron con base a los siguientes factores que se estaban observando:</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Los menores niveles que registraba la inflación general.</w:t>
      </w: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La mayor amplitud de las condiciones de holgura en la economía.</w:t>
      </w:r>
    </w:p>
    <w:p w:rsid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El comportamiento reciente de las curvas de rendimiento externas e internas.</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Las tasas de interés en México han reflejado los efectos de las menores tasas de interés externas, registrando disminuciones en todos sus plazos, mientras que las de corto plazo estuvieron influidas, principalmente, por las reducciones en la tasa de interés objetivo. Si bien la moneda nacional presentó una depreciación en la primera parte del 3T-2019 asociada a un menor apetito por riesgo global, esta se ha revertido parcialmente acompañada de menores niveles de volatilidad. Ello se debe, en parte, aun mayor apetito por riesgo asociado a las menores tensiones comerciales entre China y Estados Unidos. Las expectativas de inflación de corto plazo provenientes de encuestas han seguido a la información más reciente, mientras que las de mayor plazo han permanecido relativamente estables, si bien en niveles superiores a 3%. Por su parte, la compensación por inflación y riesgo inflacionario extraída de instrumentos de mercado registró una disminución.</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Las previsiones para la Actividad Económica, BANXICO estima en su Informe que se anticipa que la economía empiece a mostrar tasas de crecimiento más elevadas a partir del 2020, si bien la recuperación se retrasó respecto a lo previsto en el Informe anterior. En un entorno de marcada incertidumbre, los elementos de riesgo externos e internos que persisten dan lugar a que el balance de riesgos para la actividad económica del país se mantenga sesgado a la baja. Por lo que los riesgos para el escenario de crecimiento en el horizonte de pronóstico serían:</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A la baja derivado al agravamiento de las tensiones comerciales, prolongación del proceso de ratificación del T-MEC en Estados Unidos y Canadá, episodios de volatilidad en los mercados financieros internacionales, desaceleración mayor a la esperada de la economía y el comercio globales, mayor persistencia en la debilidad de los componentes de la demanda agregada, deterioro en la calificación de la deuda soberana o de Pemex, así como el ejercicio del gasto público en 2020 menor al esperado.</w:t>
      </w: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lastRenderedPageBreak/>
        <w:t>•</w:t>
      </w:r>
      <w:r w:rsidRPr="00554ED1">
        <w:rPr>
          <w:rFonts w:ascii="Arial" w:eastAsia="Calibri" w:hAnsi="Arial" w:cs="Arial"/>
          <w:spacing w:val="-1"/>
          <w:sz w:val="17"/>
          <w:szCs w:val="17"/>
        </w:rPr>
        <w:tab/>
        <w:t>Al alza con la formalización del T-MEC, dinamismo de la producción industrial en Estados Unidos mayor al anticipado así como de la demanda agregada a mayor al previsto.</w:t>
      </w:r>
    </w:p>
    <w:p w:rsid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 xml:space="preserve">Se continúa anticipando que la inflación general se mantenga en niveles cercanos a 3%, si bien se prevé que presente un ligero aumento en el 1T-2020. En cuanto a la inflación subyacente anual, se espera que se ubique en niveles cercanos a 3% desde el 3T-2020. Los riesgos para el escenario de Inflación, en este contexto, se </w:t>
      </w:r>
      <w:proofErr w:type="gramStart"/>
      <w:r w:rsidRPr="00554ED1">
        <w:rPr>
          <w:rFonts w:ascii="Arial" w:eastAsia="Calibri" w:hAnsi="Arial" w:cs="Arial"/>
          <w:spacing w:val="-1"/>
          <w:sz w:val="17"/>
          <w:szCs w:val="17"/>
        </w:rPr>
        <w:t>mantiene</w:t>
      </w:r>
      <w:proofErr w:type="gramEnd"/>
      <w:r w:rsidRPr="00554ED1">
        <w:rPr>
          <w:rFonts w:ascii="Arial" w:eastAsia="Calibri" w:hAnsi="Arial" w:cs="Arial"/>
          <w:spacing w:val="-1"/>
          <w:sz w:val="17"/>
          <w:szCs w:val="17"/>
        </w:rPr>
        <w:t xml:space="preserve"> incertidumbre en cuanto a los riesgos que pudieran desviar la inflación respecto de la trayectoria esperada.</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De las Consideraciones Finales BANXICO establece en su informe lo siguiente:</w:t>
      </w:r>
    </w:p>
    <w:p w:rsidR="00554ED1" w:rsidRPr="00554ED1" w:rsidRDefault="00554ED1" w:rsidP="00554ED1">
      <w:pPr>
        <w:spacing w:before="120" w:after="120" w:line="240" w:lineRule="exact"/>
        <w:jc w:val="both"/>
        <w:rPr>
          <w:rFonts w:ascii="Arial" w:eastAsia="Calibri" w:hAnsi="Arial" w:cs="Arial"/>
          <w:spacing w:val="-1"/>
          <w:sz w:val="17"/>
          <w:szCs w:val="17"/>
        </w:rPr>
      </w:pP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El 25 de noviembre se anunció la aprobación, por parte del Fondo Monetario Internacional (FMI), de la solicitud de la Comisión de Cambios de renovar la Línea de Crédito Flexible por dos años más por cerca de 61 mil millones de dólares. El FMI resaltó que el país ha continuado implementando políticas económicas y marcos de política sólidos, además de que cuenta con fuertes fundamentos económicos que le han permitido transitar exitosamente por un entorno externo complejo.</w:t>
      </w:r>
    </w:p>
    <w:p w:rsidR="00554ED1" w:rsidRP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 xml:space="preserve">Es necesario impulsar una reactivación de la inversión propiciando un ambiente de certidumbre y que fortalezcan el clima para hacer negocios, respaldada por un marco macroeconómico sólido y </w:t>
      </w:r>
      <w:proofErr w:type="spellStart"/>
      <w:r w:rsidRPr="00554ED1">
        <w:rPr>
          <w:rFonts w:ascii="Arial" w:eastAsia="Calibri" w:hAnsi="Arial" w:cs="Arial"/>
          <w:spacing w:val="-1"/>
          <w:sz w:val="17"/>
          <w:szCs w:val="17"/>
        </w:rPr>
        <w:t>resiliente</w:t>
      </w:r>
      <w:proofErr w:type="spellEnd"/>
      <w:r w:rsidRPr="00554ED1">
        <w:rPr>
          <w:rFonts w:ascii="Arial" w:eastAsia="Calibri" w:hAnsi="Arial" w:cs="Arial"/>
          <w:spacing w:val="-1"/>
          <w:sz w:val="17"/>
          <w:szCs w:val="17"/>
        </w:rPr>
        <w:t>, apoyado por la disciplina fiscal, la estabilidad de precios y la estabilidad financiera.</w:t>
      </w:r>
    </w:p>
    <w:p w:rsidR="00554ED1" w:rsidRDefault="00554ED1" w:rsidP="00554ED1">
      <w:pPr>
        <w:spacing w:before="120" w:after="120" w:line="240" w:lineRule="exact"/>
        <w:jc w:val="both"/>
        <w:rPr>
          <w:rFonts w:ascii="Arial" w:eastAsia="Calibri" w:hAnsi="Arial" w:cs="Arial"/>
          <w:spacing w:val="-1"/>
          <w:sz w:val="17"/>
          <w:szCs w:val="17"/>
        </w:rPr>
      </w:pPr>
      <w:r w:rsidRPr="00554ED1">
        <w:rPr>
          <w:rFonts w:ascii="Arial" w:eastAsia="Calibri" w:hAnsi="Arial" w:cs="Arial"/>
          <w:spacing w:val="-1"/>
          <w:sz w:val="17"/>
          <w:szCs w:val="17"/>
        </w:rPr>
        <w:t>•</w:t>
      </w:r>
      <w:r w:rsidRPr="00554ED1">
        <w:rPr>
          <w:rFonts w:ascii="Arial" w:eastAsia="Calibri" w:hAnsi="Arial" w:cs="Arial"/>
          <w:spacing w:val="-1"/>
          <w:sz w:val="17"/>
          <w:szCs w:val="17"/>
        </w:rPr>
        <w:tab/>
        <w:t>Se requiere fomentar una mayor competencia, proporcionar los incentivos necesarios para privilegiar la creación de valor por sobre la búsqueda de rentas, e incrementar la eficiencia con la que opera la economía. Es prioritario fortalecer el Estado de derecho a través del combate a la inseguridad, la corrupción y la impunidad, y brindar certeza jurídica.</w:t>
      </w: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554ED1" w:rsidRDefault="00554ED1" w:rsidP="00554ED1">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 </w:t>
      </w:r>
    </w:p>
    <w:p w:rsidR="006520E3" w:rsidRDefault="006520E3" w:rsidP="006520E3">
      <w:pPr>
        <w:spacing w:before="120" w:after="120" w:line="240" w:lineRule="exact"/>
        <w:jc w:val="both"/>
        <w:rPr>
          <w:rFonts w:ascii="Arial" w:hAnsi="Arial" w:cs="Arial"/>
          <w:b/>
          <w:bCs/>
          <w:color w:val="000000"/>
          <w:sz w:val="18"/>
          <w:szCs w:val="34"/>
          <w:shd w:val="clear" w:color="auto" w:fill="FFFFFF"/>
        </w:rPr>
      </w:pPr>
      <w:r w:rsidRPr="001313D2">
        <w:rPr>
          <w:rFonts w:ascii="Arial" w:hAnsi="Arial" w:cs="Arial"/>
          <w:b/>
          <w:bCs/>
          <w:color w:val="000000"/>
          <w:sz w:val="18"/>
          <w:szCs w:val="34"/>
          <w:shd w:val="clear" w:color="auto" w:fill="FFFFFF"/>
        </w:rPr>
        <w:lastRenderedPageBreak/>
        <w:t>Indicador Trimestral de la Actividad Económica Estatal</w:t>
      </w:r>
    </w:p>
    <w:p w:rsidR="00392EE6" w:rsidRDefault="00392EE6" w:rsidP="00392EE6">
      <w:pPr>
        <w:pStyle w:val="p02"/>
        <w:keepLines w:val="0"/>
        <w:widowControl w:val="0"/>
        <w:jc w:val="center"/>
        <w:rPr>
          <w:rFonts w:ascii="Arial" w:hAnsi="Arial" w:cs="Arial"/>
          <w:b/>
          <w:smallCaps/>
          <w:color w:val="auto"/>
          <w:sz w:val="22"/>
        </w:rPr>
      </w:pPr>
      <w:r w:rsidRPr="00156EF2">
        <w:rPr>
          <w:rFonts w:ascii="Arial" w:hAnsi="Arial" w:cs="Arial"/>
          <w:b/>
          <w:smallCaps/>
          <w:color w:val="auto"/>
          <w:sz w:val="22"/>
        </w:rPr>
        <w:t xml:space="preserve">Indicador </w:t>
      </w:r>
      <w:r>
        <w:rPr>
          <w:rFonts w:ascii="Arial" w:hAnsi="Arial" w:cs="Arial"/>
          <w:b/>
          <w:smallCaps/>
          <w:color w:val="auto"/>
          <w:sz w:val="22"/>
        </w:rPr>
        <w:t>Trimestral de la Actividad</w:t>
      </w:r>
      <w:r w:rsidRPr="009128DE">
        <w:rPr>
          <w:rFonts w:ascii="Arial" w:hAnsi="Arial" w:cs="Arial"/>
          <w:b/>
          <w:smallCaps/>
          <w:color w:val="auto"/>
          <w:sz w:val="22"/>
        </w:rPr>
        <w:t xml:space="preserve"> Económica Estatal (ITAEE)</w:t>
      </w:r>
    </w:p>
    <w:p w:rsidR="006520E3" w:rsidRPr="009E7D50" w:rsidRDefault="00392EE6" w:rsidP="00392EE6">
      <w:pPr>
        <w:spacing w:before="120" w:after="120" w:line="240" w:lineRule="exact"/>
        <w:jc w:val="center"/>
        <w:rPr>
          <w:rFonts w:ascii="Arial" w:eastAsia="Calibri" w:hAnsi="Arial" w:cs="Arial"/>
          <w:spacing w:val="-1"/>
          <w:sz w:val="17"/>
          <w:szCs w:val="17"/>
        </w:rPr>
      </w:pPr>
      <w:r>
        <w:rPr>
          <w:rFonts w:ascii="Arial" w:hAnsi="Arial" w:cs="Arial"/>
          <w:b/>
          <w:smallCaps/>
          <w:sz w:val="22"/>
        </w:rPr>
        <w:t xml:space="preserve">durante el tercer trimestre </w:t>
      </w:r>
      <w:r w:rsidRPr="006F056B">
        <w:rPr>
          <w:rFonts w:ascii="Arial" w:hAnsi="Arial" w:cs="Arial"/>
          <w:b/>
          <w:smallCaps/>
          <w:sz w:val="22"/>
          <w:szCs w:val="22"/>
        </w:rPr>
        <w:t xml:space="preserve">de </w:t>
      </w:r>
      <w:r>
        <w:rPr>
          <w:rFonts w:ascii="Arial" w:hAnsi="Arial" w:cs="Arial"/>
          <w:b/>
          <w:smallCaps/>
          <w:sz w:val="22"/>
          <w:szCs w:val="22"/>
        </w:rPr>
        <w:t>2019</w:t>
      </w:r>
    </w:p>
    <w:tbl>
      <w:tblPr>
        <w:tblStyle w:val="Tablaconcuadrcula"/>
        <w:tblpPr w:leftFromText="141" w:rightFromText="141" w:vertAnchor="text" w:horzAnchor="margin" w:tblpXSpec="center" w:tblpY="101"/>
        <w:tblOverlap w:val="never"/>
        <w:tblW w:w="8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6"/>
        <w:gridCol w:w="4111"/>
      </w:tblGrid>
      <w:tr w:rsidR="00392EE6" w:rsidTr="00392EE6">
        <w:tc>
          <w:tcPr>
            <w:tcW w:w="4346" w:type="dxa"/>
            <w:shd w:val="clear" w:color="auto" w:fill="BDD6EE" w:themeFill="accent1" w:themeFillTint="66"/>
            <w:vAlign w:val="center"/>
          </w:tcPr>
          <w:p w:rsidR="00392EE6" w:rsidRPr="000A578B" w:rsidRDefault="00392EE6" w:rsidP="00392EE6">
            <w:pPr>
              <w:pStyle w:val="p02"/>
              <w:keepLines w:val="0"/>
              <w:widowControl w:val="0"/>
              <w:spacing w:before="120"/>
              <w:ind w:left="127"/>
              <w:jc w:val="center"/>
              <w:rPr>
                <w:rFonts w:ascii="Arial" w:hAnsi="Arial" w:cs="Arial"/>
                <w:color w:val="auto"/>
                <w:sz w:val="18"/>
              </w:rPr>
            </w:pPr>
            <w:r w:rsidRPr="00156EF2">
              <w:rPr>
                <w:rFonts w:ascii="Arial" w:hAnsi="Arial" w:cs="Arial"/>
                <w:color w:val="auto"/>
                <w:sz w:val="18"/>
              </w:rPr>
              <w:t xml:space="preserve">Variación % real respecto al mismo </w:t>
            </w:r>
            <w:r>
              <w:rPr>
                <w:rFonts w:ascii="Arial" w:hAnsi="Arial" w:cs="Arial"/>
                <w:color w:val="auto"/>
                <w:sz w:val="18"/>
              </w:rPr>
              <w:t>trimestre</w:t>
            </w:r>
            <w:r w:rsidRPr="00156EF2">
              <w:rPr>
                <w:rFonts w:ascii="Arial" w:hAnsi="Arial" w:cs="Arial"/>
                <w:color w:val="auto"/>
                <w:sz w:val="18"/>
              </w:rPr>
              <w:t xml:space="preserve"> del año anterior</w:t>
            </w:r>
          </w:p>
        </w:tc>
        <w:tc>
          <w:tcPr>
            <w:tcW w:w="4111" w:type="dxa"/>
            <w:shd w:val="clear" w:color="auto" w:fill="BDD6EE" w:themeFill="accent1" w:themeFillTint="66"/>
            <w:vAlign w:val="center"/>
          </w:tcPr>
          <w:p w:rsidR="00392EE6" w:rsidRDefault="00392EE6" w:rsidP="00392EE6">
            <w:pPr>
              <w:pStyle w:val="p0"/>
              <w:spacing w:before="120"/>
              <w:ind w:left="127"/>
              <w:jc w:val="center"/>
            </w:pPr>
            <w:r>
              <w:rPr>
                <w:rFonts w:cs="Arial"/>
                <w:sz w:val="18"/>
              </w:rPr>
              <w:t>Contribución a la variación</w:t>
            </w:r>
            <w:r w:rsidRPr="00156EF2">
              <w:rPr>
                <w:rFonts w:cs="Arial"/>
                <w:sz w:val="18"/>
              </w:rPr>
              <w:t xml:space="preserve"> </w:t>
            </w:r>
            <w:r>
              <w:rPr>
                <w:rFonts w:cs="Arial"/>
                <w:sz w:val="18"/>
              </w:rPr>
              <w:t xml:space="preserve">total </w:t>
            </w:r>
            <w:r w:rsidRPr="00156EF2">
              <w:rPr>
                <w:rFonts w:cs="Arial"/>
                <w:sz w:val="18"/>
              </w:rPr>
              <w:t xml:space="preserve">real </w:t>
            </w:r>
            <w:r>
              <w:rPr>
                <w:rFonts w:cs="Arial"/>
                <w:sz w:val="18"/>
              </w:rPr>
              <w:t>del ITAEE</w:t>
            </w:r>
            <w:r w:rsidRPr="00962D1C">
              <w:rPr>
                <w:rFonts w:cs="Arial"/>
                <w:sz w:val="18"/>
                <w:vertAlign w:val="superscript"/>
              </w:rPr>
              <w:t>1/</w:t>
            </w:r>
          </w:p>
        </w:tc>
      </w:tr>
      <w:tr w:rsidR="00392EE6" w:rsidTr="00392EE6">
        <w:tblPrEx>
          <w:tblCellMar>
            <w:left w:w="70" w:type="dxa"/>
            <w:right w:w="70" w:type="dxa"/>
          </w:tblCellMar>
        </w:tblPrEx>
        <w:tc>
          <w:tcPr>
            <w:tcW w:w="4346" w:type="dxa"/>
            <w:vAlign w:val="center"/>
          </w:tcPr>
          <w:p w:rsidR="00392EE6" w:rsidRDefault="00392EE6" w:rsidP="00392EE6">
            <w:pPr>
              <w:pStyle w:val="p0"/>
              <w:spacing w:before="0"/>
              <w:ind w:left="-116"/>
              <w:jc w:val="center"/>
            </w:pPr>
            <w:r>
              <w:rPr>
                <w:noProof/>
                <w:lang w:val="es-MX" w:eastAsia="es-MX"/>
              </w:rPr>
              <w:drawing>
                <wp:inline distT="0" distB="0" distL="0" distR="0" wp14:anchorId="29892D16" wp14:editId="0E936609">
                  <wp:extent cx="2520000" cy="4500000"/>
                  <wp:effectExtent l="57150" t="38100" r="71120" b="91440"/>
                  <wp:docPr id="3" name="Gráfico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111" w:type="dxa"/>
            <w:vAlign w:val="center"/>
          </w:tcPr>
          <w:p w:rsidR="00392EE6" w:rsidRDefault="00392EE6" w:rsidP="00392EE6">
            <w:pPr>
              <w:pStyle w:val="p0"/>
              <w:spacing w:before="0"/>
              <w:ind w:left="-67" w:right="-74"/>
              <w:jc w:val="center"/>
            </w:pPr>
            <w:r>
              <w:rPr>
                <w:noProof/>
                <w:lang w:val="es-MX" w:eastAsia="es-MX"/>
              </w:rPr>
              <w:drawing>
                <wp:inline distT="0" distB="0" distL="0" distR="0" wp14:anchorId="47BE0DDC" wp14:editId="6126794D">
                  <wp:extent cx="2521585" cy="4500000"/>
                  <wp:effectExtent l="57150" t="38100" r="69215" b="91440"/>
                  <wp:docPr id="4" name="Grá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Default="006520E3" w:rsidP="006520E3">
      <w:pPr>
        <w:spacing w:before="120" w:after="120" w:line="240" w:lineRule="exact"/>
        <w:jc w:val="both"/>
        <w:rPr>
          <w:rFonts w:ascii="Arial" w:eastAsia="Calibri" w:hAnsi="Arial" w:cs="Arial"/>
          <w:spacing w:val="-1"/>
          <w:sz w:val="17"/>
          <w:szCs w:val="17"/>
        </w:rPr>
      </w:pPr>
    </w:p>
    <w:p w:rsidR="006520E3" w:rsidRPr="00A67440"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Autorización e Historia</w:t>
      </w:r>
    </w:p>
    <w:p w:rsidR="006520E3" w:rsidRPr="00797197"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4 de octubre de 1824 se establece en México la República Federal, la Constitución incluye a Querétaro como Estado de la Federación. Ahora bien, el artículo 1 de la Constitución Política del Estado de Querétaro, establece:</w:t>
      </w:r>
    </w:p>
    <w:p w:rsidR="006520E3" w:rsidRPr="002302DE" w:rsidRDefault="006520E3" w:rsidP="006520E3">
      <w:pPr>
        <w:spacing w:before="120" w:after="120" w:line="240" w:lineRule="exact"/>
        <w:ind w:left="1701" w:right="2515"/>
        <w:jc w:val="both"/>
        <w:rPr>
          <w:rFonts w:ascii="Arial" w:eastAsia="Calibri" w:hAnsi="Arial" w:cs="Arial"/>
          <w:i/>
          <w:spacing w:val="-1"/>
          <w:sz w:val="17"/>
          <w:szCs w:val="17"/>
        </w:rPr>
      </w:pPr>
      <w:r w:rsidRPr="002302DE">
        <w:rPr>
          <w:rFonts w:ascii="Arial" w:eastAsia="Calibri" w:hAnsi="Arial" w:cs="Arial"/>
          <w:i/>
          <w:spacing w:val="-1"/>
          <w:sz w:val="17"/>
          <w:szCs w:val="17"/>
        </w:rPr>
        <w:t xml:space="preserve">“El estado de Querétaro es parte integrante de la Federación Mexicana, es libre y autónomo en lo que </w:t>
      </w:r>
      <w:r>
        <w:rPr>
          <w:rFonts w:ascii="Arial" w:eastAsia="Calibri" w:hAnsi="Arial" w:cs="Arial"/>
          <w:i/>
          <w:spacing w:val="-1"/>
          <w:sz w:val="17"/>
          <w:szCs w:val="17"/>
        </w:rPr>
        <w:t>s</w:t>
      </w:r>
      <w:r w:rsidRPr="002302DE">
        <w:rPr>
          <w:rFonts w:ascii="Arial" w:eastAsia="Calibri" w:hAnsi="Arial" w:cs="Arial"/>
          <w:i/>
          <w:spacing w:val="-1"/>
          <w:sz w:val="17"/>
          <w:szCs w:val="17"/>
        </w:rPr>
        <w:t>e refiere a su régimen interno y sólo delega sus facultades en los Poderes Federales, en todo aquello que fije expresamente la constitución Política de los Estado Unidos mexicas”</w:t>
      </w:r>
      <w:r w:rsidR="00404B46">
        <w:rPr>
          <w:rFonts w:ascii="Arial" w:eastAsia="Calibri" w:hAnsi="Arial" w:cs="Arial"/>
          <w:i/>
          <w:spacing w:val="-1"/>
          <w:sz w:val="17"/>
          <w:szCs w:val="17"/>
        </w:rPr>
        <w:t>.</w:t>
      </w:r>
    </w:p>
    <w:p w:rsidR="006520E3" w:rsidRPr="00797197"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En el artículo 13 del mismo ordenamiento legal, establece:</w:t>
      </w:r>
      <w:r w:rsidRPr="00A70147">
        <w:rPr>
          <w:rFonts w:ascii="Arial" w:eastAsia="Calibri" w:hAnsi="Arial" w:cs="Arial"/>
          <w:noProof/>
          <w:spacing w:val="-1"/>
          <w:sz w:val="17"/>
          <w:szCs w:val="17"/>
        </w:rPr>
        <w:t xml:space="preserve"> </w:t>
      </w:r>
    </w:p>
    <w:p w:rsidR="006520E3" w:rsidRPr="002302DE" w:rsidRDefault="006520E3" w:rsidP="006520E3">
      <w:pPr>
        <w:spacing w:before="120" w:after="120" w:line="240" w:lineRule="exact"/>
        <w:ind w:left="1701" w:right="2515"/>
        <w:jc w:val="both"/>
        <w:rPr>
          <w:rFonts w:ascii="Arial" w:eastAsia="Calibri" w:hAnsi="Arial" w:cs="Arial"/>
          <w:i/>
          <w:spacing w:val="-1"/>
          <w:sz w:val="17"/>
          <w:szCs w:val="17"/>
        </w:rPr>
      </w:pPr>
      <w:r w:rsidRPr="002302DE">
        <w:rPr>
          <w:rFonts w:ascii="Arial" w:eastAsia="Calibri" w:hAnsi="Arial" w:cs="Arial"/>
          <w:i/>
          <w:spacing w:val="-1"/>
          <w:sz w:val="17"/>
          <w:szCs w:val="17"/>
        </w:rPr>
        <w:t>“El Poder Público del Estado se divide para su ejercicio en las funciones: Legislativa, Ejecutiva y Judicial…”</w:t>
      </w:r>
    </w:p>
    <w:p w:rsidR="006520E3" w:rsidRPr="00797197"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En el capítulo Cuarto, Sección Tercera del precepto legal antes mencionado, estable las facultades y responsabilidades del Poder Ejecutivo del Estado de Querétaro.</w:t>
      </w:r>
    </w:p>
    <w:p w:rsidR="006520E3" w:rsidRDefault="006520E3" w:rsidP="006520E3">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 xml:space="preserve">En lo que se refiere a la estructura del Poder Ejecutivo del Estado de Querétaro, está manifestada en la Ley Orgánica del Poder Ejecutivo del Estado de Querétaro, publicada en el Periódico Oficial del 17 de noviembre del 2008, con </w:t>
      </w:r>
      <w:r w:rsidRPr="007F4D94">
        <w:rPr>
          <w:rFonts w:ascii="Arial" w:eastAsia="Calibri" w:hAnsi="Arial" w:cs="Arial"/>
          <w:spacing w:val="-1"/>
          <w:sz w:val="17"/>
          <w:szCs w:val="17"/>
        </w:rPr>
        <w:t xml:space="preserve">última reforma de fecha 9 de abril de </w:t>
      </w:r>
      <w:r>
        <w:rPr>
          <w:rFonts w:ascii="Arial" w:eastAsia="Calibri" w:hAnsi="Arial" w:cs="Arial"/>
          <w:spacing w:val="-1"/>
          <w:sz w:val="17"/>
          <w:szCs w:val="17"/>
        </w:rPr>
        <w:t>2019</w:t>
      </w:r>
      <w:r w:rsidRPr="007F4D94">
        <w:rPr>
          <w:rFonts w:ascii="Arial" w:eastAsia="Calibri" w:hAnsi="Arial" w:cs="Arial"/>
          <w:spacing w:val="-1"/>
          <w:sz w:val="17"/>
          <w:szCs w:val="17"/>
        </w:rPr>
        <w:t>.</w:t>
      </w:r>
    </w:p>
    <w:p w:rsidR="006520E3" w:rsidRPr="00A67440"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Organización y Objeto Social</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En conformidad a la Constitución Política del Estado de Querétaro en su artículo 2, una de las funciones del Poder Ejecutivo del Estado de Querétaro, como parte integrante del Gobierno del Estado de Querétaro, es:</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De la misma manera en el artículo 3, se establece que:</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 xml:space="preserve">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w:t>
      </w:r>
      <w:r w:rsidRPr="002302DE">
        <w:rPr>
          <w:rFonts w:ascii="Arial" w:eastAsia="Calibri" w:hAnsi="Arial" w:cs="Arial"/>
          <w:i/>
          <w:spacing w:val="-1"/>
          <w:sz w:val="17"/>
          <w:szCs w:val="17"/>
        </w:rPr>
        <w:lastRenderedPageBreak/>
        <w:t>encuentren en condiciones de desventaja física, mental, social o económica, para facilitarles una vida de mayor calidad, digna, decorosa y su pleno desarrollo…</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El Estado… impulsará el fomento, la organización y la promoción de las actividades formativas, recreativas y competitivas del deporte en la Entidad…</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Asimismo, en el artículo 4, menciona lo siguiente:</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 xml:space="preserve">El Sistema Educativo Estatal estará orientado a exaltar los valores universales cívicos y democráticos del hombre; a propiciar el conocimiento, la defensa y respeto a los derechos humanos; </w:t>
      </w:r>
      <w:r w:rsidRPr="00633B0D">
        <w:rPr>
          <w:rFonts w:ascii="Arial" w:eastAsia="Calibri" w:hAnsi="Arial" w:cs="Arial"/>
          <w:i/>
          <w:spacing w:val="-1"/>
          <w:sz w:val="17"/>
          <w:szCs w:val="17"/>
        </w:rPr>
        <w:t>a fomentar la cultura de la legalidad</w:t>
      </w:r>
      <w:r>
        <w:rPr>
          <w:rFonts w:ascii="Arial" w:eastAsia="Calibri" w:hAnsi="Arial" w:cs="Arial"/>
          <w:i/>
          <w:spacing w:val="-1"/>
          <w:sz w:val="17"/>
          <w:szCs w:val="17"/>
        </w:rPr>
        <w:t xml:space="preserve">, </w:t>
      </w:r>
      <w:r w:rsidRPr="002302DE">
        <w:rPr>
          <w:rFonts w:ascii="Arial" w:eastAsia="Calibri" w:hAnsi="Arial" w:cs="Arial"/>
          <w:i/>
          <w:spacing w:val="-1"/>
          <w:sz w:val="17"/>
          <w:szCs w:val="17"/>
        </w:rPr>
        <w:t>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Por su parte el artículo 5, se establece que:</w:t>
      </w:r>
    </w:p>
    <w:p w:rsidR="006520E3" w:rsidRPr="002302DE" w:rsidRDefault="006520E3" w:rsidP="006520E3">
      <w:pPr>
        <w:spacing w:before="120" w:after="120" w:line="240" w:lineRule="exact"/>
        <w:ind w:left="1701" w:right="2231"/>
        <w:jc w:val="both"/>
        <w:rPr>
          <w:rFonts w:ascii="Arial" w:eastAsia="Calibri" w:hAnsi="Arial" w:cs="Arial"/>
          <w:i/>
          <w:spacing w:val="-1"/>
          <w:sz w:val="17"/>
          <w:szCs w:val="17"/>
        </w:rPr>
      </w:pPr>
      <w:r w:rsidRPr="002302DE">
        <w:rPr>
          <w:rFonts w:ascii="Arial" w:eastAsia="Calibri" w:hAnsi="Arial" w:cs="Arial"/>
          <w:i/>
          <w:spacing w:val="-1"/>
          <w:sz w:val="17"/>
          <w:szCs w:val="17"/>
        </w:rPr>
        <w:t>“Toda persona tiene derecho a un medio ambiente adecuado para su desarrollo y bienestar integral; es obligación de las autoridades y de los habitantes protegerlo.</w:t>
      </w:r>
    </w:p>
    <w:p w:rsidR="006520E3" w:rsidRPr="002302DE" w:rsidRDefault="006520E3" w:rsidP="006520E3">
      <w:pPr>
        <w:spacing w:before="120" w:after="120" w:line="240" w:lineRule="exact"/>
        <w:ind w:left="1701" w:right="2231"/>
        <w:jc w:val="both"/>
        <w:rPr>
          <w:rFonts w:ascii="Arial" w:eastAsia="Calibri" w:hAnsi="Arial" w:cs="Arial"/>
          <w:i/>
          <w:spacing w:val="-1"/>
          <w:sz w:val="17"/>
          <w:szCs w:val="17"/>
        </w:rPr>
      </w:pPr>
      <w:r w:rsidRPr="002302DE">
        <w:rPr>
          <w:rFonts w:ascii="Arial" w:eastAsia="Calibri" w:hAnsi="Arial" w:cs="Arial"/>
          <w:i/>
          <w:spacing w:val="-1"/>
          <w:sz w:val="17"/>
          <w:szCs w:val="17"/>
        </w:rPr>
        <w:t>La protección, la conservación, la restauración y la sustentabilidad de los recursos naturales serán tareas prioritarias del Estado.”</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Por último, en el artículo 6 se señala que:</w:t>
      </w:r>
    </w:p>
    <w:p w:rsidR="006520E3" w:rsidRPr="002302DE" w:rsidRDefault="006520E3" w:rsidP="006520E3">
      <w:pPr>
        <w:spacing w:before="120" w:after="120" w:line="240" w:lineRule="exact"/>
        <w:ind w:left="1701" w:right="2373"/>
        <w:jc w:val="both"/>
        <w:rPr>
          <w:rFonts w:ascii="Arial" w:eastAsia="Calibri" w:hAnsi="Arial" w:cs="Arial"/>
          <w:i/>
          <w:spacing w:val="-1"/>
          <w:sz w:val="17"/>
          <w:szCs w:val="17"/>
        </w:rPr>
      </w:pPr>
      <w:r w:rsidRPr="002302DE">
        <w:rPr>
          <w:rFonts w:ascii="Arial" w:eastAsia="Calibri" w:hAnsi="Arial" w:cs="Arial"/>
          <w:i/>
          <w:spacing w:val="-1"/>
          <w:sz w:val="17"/>
          <w:szCs w:val="17"/>
        </w:rPr>
        <w:t>“Toda persona tiene derecho a acceder de forma libre y universal a Internet y a las tecnologías de la información y la comunicación.</w:t>
      </w:r>
    </w:p>
    <w:p w:rsidR="006520E3" w:rsidRPr="002302DE" w:rsidRDefault="006520E3" w:rsidP="006520E3">
      <w:pPr>
        <w:tabs>
          <w:tab w:val="left" w:pos="11340"/>
        </w:tabs>
        <w:spacing w:before="120" w:after="120" w:line="240" w:lineRule="exact"/>
        <w:ind w:left="1701" w:right="1948"/>
        <w:jc w:val="both"/>
        <w:rPr>
          <w:rFonts w:ascii="Arial" w:eastAsia="Calibri" w:hAnsi="Arial" w:cs="Arial"/>
          <w:i/>
          <w:spacing w:val="-1"/>
          <w:sz w:val="17"/>
          <w:szCs w:val="17"/>
        </w:rPr>
      </w:pPr>
      <w:r w:rsidRPr="002302DE">
        <w:rPr>
          <w:rFonts w:ascii="Arial" w:eastAsia="Calibri" w:hAnsi="Arial" w:cs="Arial"/>
          <w:i/>
          <w:spacing w:val="-1"/>
          <w:sz w:val="17"/>
          <w:szCs w:val="17"/>
        </w:rPr>
        <w:t>El Estado está obligado a implementar las políticas necesarias para hacer efectivo este derecho, en los términos establecidos por la Ley.”</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lastRenderedPageBreak/>
        <w:t>Para el desarrollo de las actividades realizadas por el Poder Ejec</w:t>
      </w:r>
      <w:r>
        <w:rPr>
          <w:rFonts w:ascii="Arial" w:eastAsia="Calibri" w:hAnsi="Arial" w:cs="Arial"/>
          <w:spacing w:val="-1"/>
          <w:sz w:val="17"/>
          <w:szCs w:val="17"/>
        </w:rPr>
        <w:t>utivo del Estado de Querétaro, é</w:t>
      </w:r>
      <w:r w:rsidRPr="002302DE">
        <w:rPr>
          <w:rFonts w:ascii="Arial" w:eastAsia="Calibri" w:hAnsi="Arial" w:cs="Arial"/>
          <w:spacing w:val="-1"/>
          <w:sz w:val="17"/>
          <w:szCs w:val="17"/>
        </w:rPr>
        <w:t>stas se encuentran delimitadas en la Ley Orgánica del Poder Ejecutivo del Estado de Querétaro, en la que se establece su estructura organizacional. Asimismo, para la realización de los diversos programas y actividades de g</w:t>
      </w:r>
      <w:r>
        <w:rPr>
          <w:rFonts w:ascii="Arial" w:eastAsia="Calibri" w:hAnsi="Arial" w:cs="Arial"/>
          <w:spacing w:val="-1"/>
          <w:sz w:val="17"/>
          <w:szCs w:val="17"/>
        </w:rPr>
        <w:t>obierno, el ejercicio fiscal 2019</w:t>
      </w:r>
      <w:r w:rsidRPr="002302DE">
        <w:rPr>
          <w:rFonts w:ascii="Arial" w:eastAsia="Calibri" w:hAnsi="Arial" w:cs="Arial"/>
          <w:spacing w:val="-1"/>
          <w:sz w:val="17"/>
          <w:szCs w:val="17"/>
        </w:rPr>
        <w:t xml:space="preserve"> contempla el periodo del 1 de enero </w:t>
      </w:r>
      <w:r>
        <w:rPr>
          <w:rFonts w:ascii="Arial" w:eastAsia="Calibri" w:hAnsi="Arial" w:cs="Arial"/>
          <w:spacing w:val="-1"/>
          <w:sz w:val="17"/>
          <w:szCs w:val="17"/>
        </w:rPr>
        <w:t xml:space="preserve">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2302DE">
        <w:rPr>
          <w:rFonts w:ascii="Arial" w:eastAsia="Calibri" w:hAnsi="Arial" w:cs="Arial"/>
          <w:spacing w:val="-1"/>
          <w:sz w:val="17"/>
          <w:szCs w:val="17"/>
        </w:rPr>
        <w:t>.</w:t>
      </w:r>
    </w:p>
    <w:p w:rsidR="006520E3" w:rsidRPr="002302DE" w:rsidRDefault="006520E3" w:rsidP="006520E3">
      <w:pPr>
        <w:spacing w:before="120" w:after="120" w:line="240" w:lineRule="exact"/>
        <w:jc w:val="both"/>
        <w:rPr>
          <w:rFonts w:ascii="Arial" w:eastAsia="Calibri" w:hAnsi="Arial" w:cs="Arial"/>
          <w:spacing w:val="-1"/>
          <w:sz w:val="17"/>
          <w:szCs w:val="17"/>
        </w:rPr>
      </w:pPr>
      <w:r w:rsidRPr="002302DE">
        <w:rPr>
          <w:rFonts w:ascii="Arial" w:eastAsia="Calibri" w:hAnsi="Arial" w:cs="Arial"/>
          <w:spacing w:val="-1"/>
          <w:sz w:val="17"/>
          <w:szCs w:val="17"/>
        </w:rPr>
        <w:t>En cuanto a las obligaciones fiscales del Poder Ejecutivo del Estado de Querétaro, se encuentran establecidos en los diversos ordenamientos legales fiscales tanto de ámbito federal, así como en el aspecto local.</w:t>
      </w:r>
    </w:p>
    <w:p w:rsidR="006520E3" w:rsidRDefault="006520E3" w:rsidP="006520E3">
      <w:pPr>
        <w:spacing w:before="120" w:after="120" w:line="240" w:lineRule="exact"/>
        <w:jc w:val="both"/>
        <w:rPr>
          <w:rFonts w:ascii="Arial" w:eastAsia="Calibri" w:hAnsi="Arial" w:cs="Arial"/>
          <w:spacing w:val="-1"/>
          <w:sz w:val="17"/>
          <w:szCs w:val="17"/>
        </w:rPr>
      </w:pPr>
    </w:p>
    <w:p w:rsidR="006520E3" w:rsidRPr="00A67440"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Bases de Preparación de los Estados Financieros</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 (CONAC).</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en lo referente a la valuación y revelación de diversos rubros de la información financiera, se ha considerado lo establecido en las “</w:t>
      </w:r>
      <w:r w:rsidRPr="00F50AC7">
        <w:rPr>
          <w:rFonts w:ascii="Arial" w:eastAsia="Calibri" w:hAnsi="Arial" w:cs="Arial"/>
          <w:b/>
          <w:spacing w:val="-1"/>
          <w:sz w:val="17"/>
          <w:szCs w:val="17"/>
        </w:rPr>
        <w:t>Principales Reglas de Registro y Valoración del Patrimonio (Elementos Generales)</w:t>
      </w:r>
      <w:r w:rsidRPr="00F50AC7">
        <w:rPr>
          <w:rFonts w:ascii="Arial" w:eastAsia="Calibri" w:hAnsi="Arial" w:cs="Arial"/>
          <w:spacing w:val="-1"/>
          <w:sz w:val="17"/>
          <w:szCs w:val="17"/>
        </w:rPr>
        <w:t>” así como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ambas emitidas por el CONAC, tomando como base de medición para la elaboración de los estados financieros el costo histórico, dado que es el monto pagado de efectivo o equivalentes por un activo o servicio al momento de su adquisición.</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lo refer</w:t>
      </w:r>
      <w:r>
        <w:rPr>
          <w:rFonts w:ascii="Arial" w:eastAsia="Calibri" w:hAnsi="Arial" w:cs="Arial"/>
          <w:spacing w:val="-1"/>
          <w:sz w:val="17"/>
          <w:szCs w:val="17"/>
        </w:rPr>
        <w:t>ente a los postulados básicos, é</w:t>
      </w:r>
      <w:r w:rsidRPr="00F50AC7">
        <w:rPr>
          <w:rFonts w:ascii="Arial" w:eastAsia="Calibri" w:hAnsi="Arial" w:cs="Arial"/>
          <w:spacing w:val="-1"/>
          <w:sz w:val="17"/>
          <w:szCs w:val="17"/>
        </w:rPr>
        <w:t>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rsidR="006520E3"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Para el caso </w:t>
      </w:r>
      <w:r w:rsidRPr="003E1E44">
        <w:rPr>
          <w:rFonts w:ascii="Arial" w:eastAsia="Calibri" w:hAnsi="Arial" w:cs="Arial"/>
          <w:spacing w:val="-1"/>
          <w:sz w:val="17"/>
          <w:szCs w:val="17"/>
        </w:rPr>
        <w:t>del presente Informe</w:t>
      </w:r>
      <w:r>
        <w:rPr>
          <w:rFonts w:ascii="Arial" w:eastAsia="Calibri" w:hAnsi="Arial" w:cs="Arial"/>
          <w:spacing w:val="-1"/>
          <w:sz w:val="17"/>
          <w:szCs w:val="17"/>
        </w:rPr>
        <w:t xml:space="preserve"> del Poder Ejecutivo</w:t>
      </w:r>
      <w:r w:rsidRPr="00F50AC7">
        <w:rPr>
          <w:rFonts w:ascii="Arial" w:eastAsia="Calibri" w:hAnsi="Arial" w:cs="Arial"/>
          <w:spacing w:val="-1"/>
          <w:sz w:val="17"/>
          <w:szCs w:val="17"/>
        </w:rPr>
        <w:t xml:space="preserve"> del Estado de Querétaro, no se ha aplicado alguna Normatividad Supletoria.</w:t>
      </w:r>
    </w:p>
    <w:p w:rsidR="006520E3" w:rsidRPr="00A67440" w:rsidRDefault="006520E3" w:rsidP="006520E3">
      <w:pPr>
        <w:spacing w:before="120" w:after="120" w:line="240" w:lineRule="exact"/>
        <w:jc w:val="both"/>
        <w:rPr>
          <w:rFonts w:ascii="Arial" w:eastAsia="Calibri" w:hAnsi="Arial" w:cs="Arial"/>
          <w:spacing w:val="-1"/>
          <w:sz w:val="17"/>
          <w:szCs w:val="17"/>
        </w:rPr>
      </w:pPr>
    </w:p>
    <w:p w:rsidR="006520E3" w:rsidRPr="00A67440"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Políticas de Contabilidad Significativas</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cuanto a las políticas contables, se comenta lo siguiente:</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Atendiendo a lo estipulado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que refiere a que el Índice Nacional de Precios al Consumidor acumulado durante un periodo de tres años sea igual o superior al 100%, a la fecha de la emisión de</w:t>
      </w:r>
      <w:r>
        <w:rPr>
          <w:rFonts w:ascii="Arial" w:eastAsia="Calibri" w:hAnsi="Arial" w:cs="Arial"/>
          <w:spacing w:val="-1"/>
          <w:sz w:val="17"/>
          <w:szCs w:val="17"/>
        </w:rPr>
        <w:t>l Informe</w:t>
      </w:r>
      <w:r w:rsidRPr="00F50AC7">
        <w:rPr>
          <w:rFonts w:ascii="Arial" w:eastAsia="Calibri" w:hAnsi="Arial" w:cs="Arial"/>
          <w:spacing w:val="-1"/>
          <w:sz w:val="17"/>
          <w:szCs w:val="17"/>
        </w:rPr>
        <w:t>, no ha excedido del tal porcentaje, por lo cual no se ha realizado actualización alguna en ningún rubro del activo, pasivo y hacienda pública.</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el Poder Ejecutivo del Estado de Querétaro, no ha efectuado operaciones en el extranjero y no ha tenido efecto alguno en la información financiera gubernamental.</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De la misma manera no existen acciones de Compañías subsidiarias no consolidadas y asociadas. No se tiene una actividad comercial, por lo que no existe Sistema y método de valuación de inventarios y costo de lo vendido.</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cuanto a las políticas para el cálculo de la reserva actuarial, </w:t>
      </w:r>
      <w:r>
        <w:rPr>
          <w:rFonts w:ascii="Arial" w:eastAsia="Calibri" w:hAnsi="Arial" w:cs="Arial"/>
          <w:spacing w:val="-1"/>
          <w:sz w:val="17"/>
          <w:szCs w:val="17"/>
        </w:rPr>
        <w:t>é</w:t>
      </w:r>
      <w:r w:rsidRPr="00F50AC7">
        <w:rPr>
          <w:rFonts w:ascii="Arial" w:eastAsia="Calibri" w:hAnsi="Arial" w:cs="Arial"/>
          <w:spacing w:val="-1"/>
          <w:sz w:val="17"/>
          <w:szCs w:val="17"/>
        </w:rPr>
        <w:t xml:space="preserve">stas se encuentran plasmadas en </w:t>
      </w:r>
      <w:r>
        <w:rPr>
          <w:rFonts w:ascii="Arial" w:eastAsia="Calibri" w:hAnsi="Arial" w:cs="Arial"/>
          <w:spacing w:val="-1"/>
          <w:sz w:val="17"/>
          <w:szCs w:val="17"/>
        </w:rPr>
        <w:t>el</w:t>
      </w:r>
      <w:r w:rsidRPr="00F50AC7">
        <w:rPr>
          <w:rFonts w:ascii="Arial" w:eastAsia="Calibri" w:hAnsi="Arial" w:cs="Arial"/>
          <w:spacing w:val="-1"/>
          <w:sz w:val="17"/>
          <w:szCs w:val="17"/>
        </w:rPr>
        <w:t xml:space="preserve"> estudio</w:t>
      </w:r>
      <w:r>
        <w:rPr>
          <w:rFonts w:ascii="Arial" w:eastAsia="Calibri" w:hAnsi="Arial" w:cs="Arial"/>
          <w:spacing w:val="-1"/>
          <w:sz w:val="17"/>
          <w:szCs w:val="17"/>
        </w:rPr>
        <w:t xml:space="preserve"> actuarial realizado al Poder Ejecutivo del Estado de Querétaro</w:t>
      </w:r>
      <w:r w:rsidRPr="00F50AC7">
        <w:rPr>
          <w:rFonts w:ascii="Arial" w:eastAsia="Calibri" w:hAnsi="Arial" w:cs="Arial"/>
          <w:spacing w:val="-1"/>
          <w:sz w:val="17"/>
          <w:szCs w:val="17"/>
        </w:rPr>
        <w:t>.</w:t>
      </w:r>
    </w:p>
    <w:p w:rsidR="006520E3" w:rsidRPr="00F50AC7"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el efecto que tiene</w:t>
      </w:r>
      <w:r>
        <w:rPr>
          <w:rFonts w:ascii="Arial" w:eastAsia="Calibri" w:hAnsi="Arial" w:cs="Arial"/>
          <w:spacing w:val="-1"/>
          <w:sz w:val="17"/>
          <w:szCs w:val="17"/>
        </w:rPr>
        <w:t xml:space="preserve"> la</w:t>
      </w:r>
      <w:r w:rsidRPr="00F50AC7">
        <w:rPr>
          <w:rFonts w:ascii="Arial" w:eastAsia="Calibri" w:hAnsi="Arial" w:cs="Arial"/>
          <w:spacing w:val="-1"/>
          <w:sz w:val="17"/>
          <w:szCs w:val="17"/>
        </w:rPr>
        <w:t xml:space="preserve">s </w:t>
      </w:r>
      <w:r>
        <w:rPr>
          <w:rFonts w:ascii="Arial" w:eastAsia="Calibri" w:hAnsi="Arial" w:cs="Arial"/>
          <w:spacing w:val="-1"/>
          <w:sz w:val="17"/>
          <w:szCs w:val="17"/>
        </w:rPr>
        <w:t>correccio</w:t>
      </w:r>
      <w:r w:rsidRPr="00F50AC7">
        <w:rPr>
          <w:rFonts w:ascii="Arial" w:eastAsia="Calibri" w:hAnsi="Arial" w:cs="Arial"/>
          <w:spacing w:val="-1"/>
          <w:sz w:val="17"/>
          <w:szCs w:val="17"/>
        </w:rPr>
        <w:t>n</w:t>
      </w:r>
      <w:r>
        <w:rPr>
          <w:rFonts w:ascii="Arial" w:eastAsia="Calibri" w:hAnsi="Arial" w:cs="Arial"/>
          <w:spacing w:val="-1"/>
          <w:sz w:val="17"/>
          <w:szCs w:val="17"/>
        </w:rPr>
        <w:t>es</w:t>
      </w:r>
      <w:r w:rsidRPr="00F50AC7">
        <w:rPr>
          <w:rFonts w:ascii="Arial" w:eastAsia="Calibri" w:hAnsi="Arial" w:cs="Arial"/>
          <w:spacing w:val="-1"/>
          <w:sz w:val="17"/>
          <w:szCs w:val="17"/>
        </w:rPr>
        <w:t xml:space="preserve"> de errores</w:t>
      </w:r>
      <w:r>
        <w:rPr>
          <w:rFonts w:ascii="Arial" w:eastAsia="Calibri" w:hAnsi="Arial" w:cs="Arial"/>
          <w:spacing w:val="-1"/>
          <w:sz w:val="17"/>
          <w:szCs w:val="17"/>
        </w:rPr>
        <w:t xml:space="preserve"> en la información financiera, é</w:t>
      </w:r>
      <w:r w:rsidRPr="00F50AC7">
        <w:rPr>
          <w:rFonts w:ascii="Arial" w:eastAsia="Calibri" w:hAnsi="Arial" w:cs="Arial"/>
          <w:spacing w:val="-1"/>
          <w:sz w:val="17"/>
          <w:szCs w:val="17"/>
        </w:rPr>
        <w:t>stos son revelados en las Notas de Desglose, en particular en lo que se observa en las Notas al Estado de Variación en la Hacienda Pública.</w:t>
      </w:r>
    </w:p>
    <w:p w:rsidR="006520E3" w:rsidRDefault="006520E3" w:rsidP="006520E3">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lo referente a la Depuración y cancelación de saldos, las políticas particulares están contenidas en el Anexo II del Manual de Contabilidad Gubernamental del Poder Ejecutivo del </w:t>
      </w:r>
      <w:r>
        <w:rPr>
          <w:rFonts w:ascii="Arial" w:eastAsia="Calibri" w:hAnsi="Arial" w:cs="Arial"/>
          <w:spacing w:val="-1"/>
          <w:sz w:val="17"/>
          <w:szCs w:val="17"/>
        </w:rPr>
        <w:t>E</w:t>
      </w:r>
      <w:r w:rsidRPr="00F50AC7">
        <w:rPr>
          <w:rFonts w:ascii="Arial" w:eastAsia="Calibri" w:hAnsi="Arial" w:cs="Arial"/>
          <w:spacing w:val="-1"/>
          <w:sz w:val="17"/>
          <w:szCs w:val="17"/>
        </w:rPr>
        <w:t>stado de Querétaro.</w:t>
      </w:r>
    </w:p>
    <w:p w:rsidR="006520E3" w:rsidRPr="00D87310" w:rsidRDefault="006520E3" w:rsidP="006520E3">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lastRenderedPageBreak/>
        <w:t>Se informa que a lo largo del ejercicio se ha realizado el análisis de la cuenta obras en proceso a tal efecto de presentar el saldo depurado en esta cuenta quedando reflejado el monto de las o</w:t>
      </w:r>
      <w:r w:rsidRPr="00D87310">
        <w:rPr>
          <w:rFonts w:ascii="Arial" w:eastAsia="Calibri" w:hAnsi="Arial" w:cs="Arial"/>
          <w:spacing w:val="-1"/>
          <w:sz w:val="17"/>
          <w:szCs w:val="17"/>
        </w:rPr>
        <w:t>bras que se encuentran en proceso de ser concluidas.</w:t>
      </w:r>
    </w:p>
    <w:p w:rsidR="006520E3" w:rsidRDefault="006520E3" w:rsidP="006520E3">
      <w:pPr>
        <w:spacing w:before="120" w:after="120" w:line="240" w:lineRule="exact"/>
        <w:jc w:val="both"/>
        <w:rPr>
          <w:rFonts w:ascii="Arial" w:eastAsia="Calibri" w:hAnsi="Arial" w:cs="Arial"/>
          <w:spacing w:val="-1"/>
          <w:sz w:val="17"/>
          <w:szCs w:val="17"/>
        </w:rPr>
      </w:pPr>
      <w:r w:rsidRPr="00941B09">
        <w:rPr>
          <w:rFonts w:ascii="Arial" w:eastAsia="Calibri" w:hAnsi="Arial" w:cs="Arial"/>
          <w:spacing w:val="-1"/>
          <w:sz w:val="17"/>
          <w:szCs w:val="17"/>
        </w:rPr>
        <w:t xml:space="preserve">El Poder Ejecutivo en apego al artículo 32 de la Ley General de Contabilidad Gubernamental, ha </w:t>
      </w:r>
      <w:r w:rsidR="00F73D92" w:rsidRPr="00941B09">
        <w:rPr>
          <w:rFonts w:ascii="Arial" w:eastAsia="Calibri" w:hAnsi="Arial" w:cs="Arial"/>
          <w:spacing w:val="-1"/>
          <w:sz w:val="17"/>
          <w:szCs w:val="17"/>
        </w:rPr>
        <w:t xml:space="preserve">actualizado el valor </w:t>
      </w:r>
      <w:r w:rsidRPr="00941B09">
        <w:rPr>
          <w:rFonts w:ascii="Arial" w:eastAsia="Calibri" w:hAnsi="Arial" w:cs="Arial"/>
          <w:spacing w:val="-1"/>
          <w:sz w:val="17"/>
          <w:szCs w:val="17"/>
        </w:rPr>
        <w:t>de la participación que tiene en las Entidades Paraestatales, el cual tuvo como resultado un incremento en el rub</w:t>
      </w:r>
      <w:r w:rsidR="0067731C" w:rsidRPr="00941B09">
        <w:rPr>
          <w:rFonts w:ascii="Arial" w:eastAsia="Calibri" w:hAnsi="Arial" w:cs="Arial"/>
          <w:spacing w:val="-1"/>
          <w:sz w:val="17"/>
          <w:szCs w:val="17"/>
        </w:rPr>
        <w:t>ro del activo no circulante, así como</w:t>
      </w:r>
      <w:r w:rsidR="00F73D92" w:rsidRPr="00941B09">
        <w:rPr>
          <w:rFonts w:ascii="Arial" w:eastAsia="Calibri" w:hAnsi="Arial" w:cs="Arial"/>
          <w:spacing w:val="-1"/>
          <w:sz w:val="17"/>
          <w:szCs w:val="17"/>
        </w:rPr>
        <w:t xml:space="preserve"> el respectivo reconocimiento en </w:t>
      </w:r>
      <w:r w:rsidR="00941B09" w:rsidRPr="00941B09">
        <w:rPr>
          <w:rFonts w:ascii="Arial" w:eastAsia="Calibri" w:hAnsi="Arial" w:cs="Arial"/>
          <w:spacing w:val="-1"/>
          <w:sz w:val="17"/>
          <w:szCs w:val="17"/>
        </w:rPr>
        <w:t xml:space="preserve">Otros Ingresos y Beneficios Varios, Otros Gastos </w:t>
      </w:r>
      <w:r w:rsidR="00292AEC" w:rsidRPr="00941B09">
        <w:rPr>
          <w:rFonts w:ascii="Arial" w:eastAsia="Calibri" w:hAnsi="Arial" w:cs="Arial"/>
          <w:spacing w:val="-1"/>
          <w:sz w:val="17"/>
          <w:szCs w:val="17"/>
        </w:rPr>
        <w:t>y</w:t>
      </w:r>
      <w:r w:rsidR="0067731C" w:rsidRPr="00941B09">
        <w:rPr>
          <w:rFonts w:ascii="Arial" w:eastAsia="Calibri" w:hAnsi="Arial" w:cs="Arial"/>
          <w:spacing w:val="-1"/>
          <w:sz w:val="17"/>
          <w:szCs w:val="17"/>
        </w:rPr>
        <w:t xml:space="preserve"> en</w:t>
      </w:r>
      <w:r w:rsidR="00292AEC" w:rsidRPr="00941B09">
        <w:rPr>
          <w:rFonts w:ascii="Arial" w:eastAsia="Calibri" w:hAnsi="Arial" w:cs="Arial"/>
          <w:spacing w:val="-1"/>
          <w:sz w:val="17"/>
          <w:szCs w:val="17"/>
        </w:rPr>
        <w:t xml:space="preserve"> Rectificaciones de resultados de ejercicios anteriores.</w:t>
      </w:r>
    </w:p>
    <w:p w:rsidR="006520E3" w:rsidRDefault="006520E3" w:rsidP="006520E3">
      <w:pPr>
        <w:rPr>
          <w:rFonts w:ascii="Arial" w:eastAsia="Calibri" w:hAnsi="Arial" w:cs="Arial"/>
          <w:spacing w:val="-1"/>
          <w:sz w:val="17"/>
          <w:szCs w:val="17"/>
        </w:rPr>
      </w:pPr>
    </w:p>
    <w:p w:rsidR="006520E3" w:rsidRPr="00A67440"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Posición en Moneda Extranjera y Protección por Riesgo Cambiario</w:t>
      </w:r>
    </w:p>
    <w:p w:rsidR="006520E3" w:rsidRPr="00A67440" w:rsidRDefault="006520E3" w:rsidP="006520E3">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Se informa que no existen posiciones en Moneda Extranjera.</w:t>
      </w:r>
    </w:p>
    <w:p w:rsidR="006520E3" w:rsidRDefault="006520E3" w:rsidP="006520E3">
      <w:pPr>
        <w:spacing w:before="120" w:after="120" w:line="240" w:lineRule="exact"/>
        <w:jc w:val="both"/>
        <w:rPr>
          <w:rFonts w:ascii="Arial" w:eastAsia="Calibri" w:hAnsi="Arial" w:cs="Arial"/>
          <w:spacing w:val="-1"/>
          <w:sz w:val="17"/>
          <w:szCs w:val="17"/>
        </w:rPr>
      </w:pPr>
    </w:p>
    <w:p w:rsidR="006520E3" w:rsidRPr="0079369C"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79369C">
        <w:rPr>
          <w:rFonts w:ascii="Arial" w:eastAsia="Calibri" w:hAnsi="Arial" w:cs="Arial"/>
          <w:b/>
          <w:spacing w:val="-1"/>
          <w:sz w:val="17"/>
          <w:szCs w:val="17"/>
        </w:rPr>
        <w:t>Reporte Analítico del Activo</w:t>
      </w:r>
    </w:p>
    <w:p w:rsidR="006520E3" w:rsidRPr="0079369C" w:rsidRDefault="006520E3" w:rsidP="006520E3">
      <w:pPr>
        <w:spacing w:before="120" w:after="120" w:line="240" w:lineRule="exact"/>
        <w:jc w:val="both"/>
        <w:rPr>
          <w:rFonts w:ascii="Arial" w:eastAsia="Calibri" w:hAnsi="Arial" w:cs="Arial"/>
          <w:spacing w:val="-1"/>
          <w:sz w:val="17"/>
          <w:szCs w:val="17"/>
        </w:rPr>
      </w:pPr>
      <w:r w:rsidRPr="0079369C">
        <w:rPr>
          <w:rFonts w:ascii="Arial" w:eastAsia="Calibri" w:hAnsi="Arial" w:cs="Arial"/>
          <w:spacing w:val="-1"/>
          <w:sz w:val="17"/>
          <w:szCs w:val="17"/>
        </w:rPr>
        <w:t>Para efecto del Estado Analítico del Activo se comenta lo siguiente:</w:t>
      </w:r>
    </w:p>
    <w:p w:rsidR="006520E3" w:rsidRPr="0079369C" w:rsidRDefault="006520E3" w:rsidP="006520E3">
      <w:pPr>
        <w:spacing w:before="120" w:after="120" w:line="240" w:lineRule="exact"/>
        <w:jc w:val="both"/>
        <w:rPr>
          <w:rFonts w:ascii="Arial" w:eastAsia="Calibri" w:hAnsi="Arial" w:cs="Arial"/>
          <w:spacing w:val="-1"/>
          <w:sz w:val="17"/>
          <w:szCs w:val="17"/>
        </w:rPr>
      </w:pPr>
      <w:r w:rsidRPr="0079369C">
        <w:rPr>
          <w:rFonts w:ascii="Arial" w:eastAsia="Calibri" w:hAnsi="Arial" w:cs="Arial"/>
          <w:spacing w:val="-1"/>
          <w:sz w:val="17"/>
          <w:szCs w:val="17"/>
        </w:rPr>
        <w:t>En cuanto a la vida útil, porcentajes de depreciación y amortización de los diferentes tipos de activos no circulantes, se encuentran revelados en las Notas de Desglose, en particular en las Notas al Estado de Situación Financiera, en el apartado “5 Bienes Muebles, Inmuebles e Intangibles”.</w:t>
      </w:r>
    </w:p>
    <w:p w:rsidR="006520E3" w:rsidRPr="0079369C" w:rsidRDefault="006520E3" w:rsidP="006520E3">
      <w:pPr>
        <w:spacing w:before="120" w:after="120" w:line="240" w:lineRule="exact"/>
        <w:jc w:val="both"/>
        <w:rPr>
          <w:rFonts w:ascii="Arial" w:eastAsia="Calibri" w:hAnsi="Arial" w:cs="Arial"/>
          <w:spacing w:val="-1"/>
          <w:sz w:val="17"/>
          <w:szCs w:val="17"/>
        </w:rPr>
      </w:pPr>
      <w:r w:rsidRPr="0079369C">
        <w:rPr>
          <w:rFonts w:ascii="Arial" w:eastAsia="Calibri" w:hAnsi="Arial" w:cs="Arial"/>
          <w:spacing w:val="-1"/>
          <w:sz w:val="17"/>
          <w:szCs w:val="17"/>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rsidR="006520E3" w:rsidRPr="0079369C" w:rsidRDefault="006520E3" w:rsidP="006520E3">
      <w:pPr>
        <w:spacing w:before="120" w:after="120" w:line="240" w:lineRule="exact"/>
        <w:jc w:val="both"/>
        <w:rPr>
          <w:rFonts w:ascii="Arial" w:eastAsia="Calibri" w:hAnsi="Arial" w:cs="Arial"/>
          <w:spacing w:val="-1"/>
          <w:sz w:val="17"/>
          <w:szCs w:val="17"/>
        </w:rPr>
      </w:pPr>
      <w:r w:rsidRPr="0079369C">
        <w:rPr>
          <w:rFonts w:ascii="Arial" w:eastAsia="Calibri" w:hAnsi="Arial" w:cs="Arial"/>
          <w:spacing w:val="-1"/>
          <w:sz w:val="17"/>
          <w:szCs w:val="17"/>
        </w:rPr>
        <w:t>En lo referente a las Participaciones y Aportaciones de Capital se tiene lo siguiente:</w:t>
      </w:r>
    </w:p>
    <w:p w:rsidR="006520E3" w:rsidRPr="0079369C" w:rsidRDefault="006520E3" w:rsidP="006520E3">
      <w:pPr>
        <w:spacing w:before="120" w:after="120" w:line="240" w:lineRule="exact"/>
        <w:jc w:val="both"/>
        <w:rPr>
          <w:rFonts w:ascii="Arial" w:eastAsia="Calibri" w:hAnsi="Arial" w:cs="Arial"/>
          <w:spacing w:val="-1"/>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7371"/>
        <w:gridCol w:w="1817"/>
      </w:tblGrid>
      <w:tr w:rsidR="006520E3" w:rsidRPr="0079369C" w:rsidTr="007D3680">
        <w:trPr>
          <w:trHeight w:val="240"/>
          <w:jc w:val="center"/>
        </w:trPr>
        <w:tc>
          <w:tcPr>
            <w:tcW w:w="720" w:type="dxa"/>
            <w:shd w:val="clear" w:color="auto" w:fill="D5DCE4"/>
          </w:tcPr>
          <w:p w:rsidR="006520E3" w:rsidRPr="0079369C" w:rsidRDefault="006520E3" w:rsidP="00137283">
            <w:pPr>
              <w:jc w:val="center"/>
              <w:rPr>
                <w:rFonts w:ascii="Arial" w:hAnsi="Arial" w:cs="Arial"/>
                <w:b/>
                <w:color w:val="000000"/>
                <w:sz w:val="17"/>
                <w:szCs w:val="17"/>
              </w:rPr>
            </w:pPr>
          </w:p>
        </w:tc>
        <w:tc>
          <w:tcPr>
            <w:tcW w:w="7371" w:type="dxa"/>
            <w:shd w:val="clear" w:color="auto" w:fill="D5DCE4"/>
            <w:noWrap/>
            <w:vAlign w:val="bottom"/>
          </w:tcPr>
          <w:p w:rsidR="006520E3" w:rsidRPr="0079369C" w:rsidRDefault="006520E3" w:rsidP="00137283">
            <w:pPr>
              <w:jc w:val="center"/>
              <w:rPr>
                <w:rFonts w:ascii="Arial" w:hAnsi="Arial" w:cs="Arial"/>
                <w:b/>
                <w:color w:val="000000"/>
                <w:sz w:val="17"/>
                <w:szCs w:val="17"/>
              </w:rPr>
            </w:pPr>
            <w:r w:rsidRPr="0079369C">
              <w:rPr>
                <w:rFonts w:ascii="Arial" w:hAnsi="Arial" w:cs="Arial"/>
                <w:b/>
                <w:color w:val="000000"/>
                <w:sz w:val="17"/>
                <w:szCs w:val="17"/>
              </w:rPr>
              <w:t>Concepto</w:t>
            </w:r>
          </w:p>
        </w:tc>
        <w:tc>
          <w:tcPr>
            <w:tcW w:w="1817" w:type="dxa"/>
            <w:shd w:val="clear" w:color="auto" w:fill="D5DCE4"/>
          </w:tcPr>
          <w:p w:rsidR="006520E3" w:rsidRPr="0079369C" w:rsidRDefault="006520E3" w:rsidP="00137283">
            <w:pPr>
              <w:jc w:val="center"/>
              <w:rPr>
                <w:rFonts w:ascii="Arial" w:hAnsi="Arial" w:cs="Arial"/>
                <w:b/>
                <w:color w:val="000000"/>
                <w:sz w:val="17"/>
                <w:szCs w:val="17"/>
              </w:rPr>
            </w:pPr>
            <w:r w:rsidRPr="0079369C">
              <w:rPr>
                <w:rFonts w:ascii="Arial" w:hAnsi="Arial" w:cs="Arial"/>
                <w:b/>
                <w:color w:val="000000"/>
                <w:sz w:val="17"/>
                <w:szCs w:val="17"/>
              </w:rPr>
              <w:t>Importe</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b/>
                <w:color w:val="000000"/>
                <w:sz w:val="17"/>
                <w:szCs w:val="17"/>
              </w:rPr>
            </w:pPr>
            <w:r w:rsidRPr="007D3680">
              <w:rPr>
                <w:rFonts w:ascii="Arial" w:hAnsi="Arial" w:cs="Arial"/>
                <w:b/>
                <w:color w:val="000000"/>
                <w:sz w:val="17"/>
                <w:szCs w:val="17"/>
              </w:rPr>
              <w:t>12141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b/>
                <w:color w:val="000000"/>
                <w:sz w:val="17"/>
                <w:szCs w:val="17"/>
              </w:rPr>
            </w:pPr>
            <w:r w:rsidRPr="007D3680">
              <w:rPr>
                <w:rFonts w:ascii="Arial" w:hAnsi="Arial" w:cs="Arial"/>
                <w:b/>
                <w:color w:val="000000"/>
                <w:sz w:val="17"/>
                <w:szCs w:val="17"/>
              </w:rPr>
              <w:t>Participaciones y Aportaciones de Capital a Largo Plazo en el Sector Público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25,148,253,569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Aeropuerto Intercontinental de Querétaro, S.A. de C.V.</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278,311,590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Secretaria Ejecutiva del Sistema Estatal Anticorrupción</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1,528,685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Comisión Estatal de Aguas</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9,159,343,386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Colegio de Estudios Científicos y Tecnológicos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515,567,376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Comisión Estatal de Infraestructura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1,672,477,782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Centro Estatal de Trasplantes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358,070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Colegio de Bachilleres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817,571,119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Comisión para el Fomento Económico de las Empresas del Sector Industrial, Comercial y de Servicios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1,261,131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Colegio de Educación Profesional Técnica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197,122,355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Consejo de Ciencia y Tecnología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25,434,889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Casa Queretana de las Artesanías</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17,008,011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Sistema para el Desarrollo Integral de la Familia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315,555,028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de Capacitación para el Trabajo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101,178,156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de Infraestructura Física Educativa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195,488,876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de Artes y Oficios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2,716,696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Queretano de las Mujeres</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-865,162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Queretano del Transporte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162,198,864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de la Vivienda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169,764,893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Procuraduría Estatal de Protección al Medio Ambiente y Desarrollo Urbano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2,826,863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Patronato de las Fiestas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760,547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Sistema Estatal de Comunicación Cultural y Educativa</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16,468,861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Régimen Estatal de Protección Social en Salud en 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49,193,893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Servicios de Salud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3,673,772,240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Autónoma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3,003,712,903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Aeronáutica en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496,153,770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Politécnica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243,337,922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Politécnica de Santa Rosa Jáuregui</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91,445,853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Unidad de Servicios para la Educación Básica en 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881,282,550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Tecnológica de Corregidora</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50,546,582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Tecnológica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935,324,767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Universidad Tecnológica de San Juan del Río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507,917,931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Centro de Capacitación, Formación e Investigación para la Seguridad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19,343,143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Centro de Evaluación y Control de Confianza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17,568,381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Comisión Estatal del Sistema Penitenciario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87,683,092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Centro de Información y Análisis para la Seguridad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190,706,701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Fideicomiso Promotor del Empleo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40,374,755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Instituto del Deporte y la Recreación del Estado de Querétaro</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41,946,499 </w:t>
            </w:r>
          </w:p>
        </w:tc>
      </w:tr>
      <w:tr w:rsidR="007D3680"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680" w:rsidRPr="007D3680" w:rsidRDefault="007D3680" w:rsidP="007D3680">
            <w:pPr>
              <w:jc w:val="both"/>
              <w:rPr>
                <w:rFonts w:ascii="Arial" w:hAnsi="Arial" w:cs="Arial"/>
                <w:color w:val="000000"/>
                <w:sz w:val="17"/>
                <w:szCs w:val="17"/>
              </w:rPr>
            </w:pPr>
            <w:r w:rsidRPr="007D3680">
              <w:rPr>
                <w:rFonts w:ascii="Arial" w:hAnsi="Arial" w:cs="Arial"/>
                <w:color w:val="000000"/>
                <w:sz w:val="17"/>
                <w:szCs w:val="17"/>
              </w:rPr>
              <w:t>Fideicomiso Promotor de Proyectos Económicos y Bienestar Social</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D3680" w:rsidRPr="007D3680" w:rsidRDefault="007D3680" w:rsidP="007D3680">
            <w:pPr>
              <w:jc w:val="right"/>
              <w:rPr>
                <w:rFonts w:ascii="Arial" w:hAnsi="Arial" w:cs="Arial"/>
                <w:color w:val="000000"/>
                <w:sz w:val="17"/>
                <w:szCs w:val="17"/>
              </w:rPr>
            </w:pPr>
            <w:r w:rsidRPr="007D3680">
              <w:rPr>
                <w:rFonts w:ascii="Arial" w:hAnsi="Arial" w:cs="Arial"/>
                <w:color w:val="000000"/>
                <w:sz w:val="17"/>
                <w:szCs w:val="17"/>
              </w:rPr>
              <w:t xml:space="preserve"> 1,165,864,571 </w:t>
            </w:r>
          </w:p>
        </w:tc>
      </w:tr>
      <w:tr w:rsidR="006520E3"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6520E3" w:rsidRPr="007D3680" w:rsidRDefault="006520E3" w:rsidP="00137283">
            <w:pPr>
              <w:jc w:val="both"/>
              <w:rPr>
                <w:rFonts w:ascii="Arial" w:hAnsi="Arial" w:cs="Arial"/>
                <w:b/>
                <w:color w:val="000000"/>
                <w:sz w:val="17"/>
                <w:szCs w:val="17"/>
              </w:rPr>
            </w:pPr>
            <w:r w:rsidRPr="007D3680">
              <w:rPr>
                <w:rFonts w:ascii="Arial" w:hAnsi="Arial" w:cs="Arial"/>
                <w:b/>
                <w:color w:val="000000"/>
                <w:sz w:val="17"/>
                <w:szCs w:val="17"/>
              </w:rPr>
              <w:t>12142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0E3" w:rsidRPr="007D3680" w:rsidRDefault="006520E3" w:rsidP="00137283">
            <w:pPr>
              <w:jc w:val="both"/>
              <w:rPr>
                <w:rFonts w:ascii="Arial" w:hAnsi="Arial" w:cs="Arial"/>
                <w:b/>
                <w:color w:val="000000"/>
                <w:sz w:val="17"/>
                <w:szCs w:val="17"/>
              </w:rPr>
            </w:pPr>
            <w:r w:rsidRPr="007D3680">
              <w:rPr>
                <w:rFonts w:ascii="Arial" w:hAnsi="Arial" w:cs="Arial"/>
                <w:b/>
                <w:color w:val="000000"/>
                <w:sz w:val="17"/>
                <w:szCs w:val="17"/>
              </w:rPr>
              <w:t>Participaciones y Aportaciones de Capital a Largo Plazo en el Sector Privado</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6520E3" w:rsidRPr="007D3680" w:rsidRDefault="006520E3" w:rsidP="00137283">
            <w:pPr>
              <w:jc w:val="right"/>
              <w:rPr>
                <w:rFonts w:ascii="Arial" w:hAnsi="Arial" w:cs="Arial"/>
                <w:b/>
                <w:color w:val="000000"/>
                <w:sz w:val="17"/>
                <w:szCs w:val="17"/>
              </w:rPr>
            </w:pPr>
            <w:r w:rsidRPr="007D3680">
              <w:rPr>
                <w:rFonts w:ascii="Arial" w:hAnsi="Arial" w:cs="Arial"/>
                <w:b/>
                <w:color w:val="000000"/>
                <w:sz w:val="17"/>
                <w:szCs w:val="17"/>
              </w:rPr>
              <w:t xml:space="preserve">         159,989,750 </w:t>
            </w:r>
          </w:p>
        </w:tc>
      </w:tr>
      <w:tr w:rsidR="006520E3" w:rsidRPr="007D3680" w:rsidTr="007D3680">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rsidR="006520E3" w:rsidRPr="007D3680" w:rsidRDefault="006520E3" w:rsidP="00137283">
            <w:pPr>
              <w:jc w:val="both"/>
              <w:rPr>
                <w:rFonts w:ascii="Arial" w:hAnsi="Arial" w:cs="Arial"/>
                <w:color w:val="000000"/>
                <w:sz w:val="17"/>
                <w:szCs w:val="17"/>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0E3" w:rsidRPr="007D3680" w:rsidRDefault="006520E3" w:rsidP="00137283">
            <w:pPr>
              <w:jc w:val="both"/>
              <w:rPr>
                <w:rFonts w:ascii="Arial" w:hAnsi="Arial" w:cs="Arial"/>
                <w:color w:val="000000"/>
                <w:sz w:val="17"/>
                <w:szCs w:val="17"/>
              </w:rPr>
            </w:pPr>
            <w:r w:rsidRPr="007D3680">
              <w:rPr>
                <w:rFonts w:ascii="Arial" w:hAnsi="Arial" w:cs="Arial"/>
                <w:color w:val="000000"/>
                <w:sz w:val="17"/>
                <w:szCs w:val="17"/>
              </w:rPr>
              <w:t>Centro Sur SA de CV</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rsidR="006520E3" w:rsidRPr="007D3680" w:rsidRDefault="006520E3" w:rsidP="00137283">
            <w:pPr>
              <w:jc w:val="right"/>
              <w:rPr>
                <w:rFonts w:ascii="Arial" w:hAnsi="Arial" w:cs="Arial"/>
                <w:color w:val="000000"/>
                <w:sz w:val="17"/>
                <w:szCs w:val="17"/>
              </w:rPr>
            </w:pPr>
            <w:r w:rsidRPr="007D3680">
              <w:rPr>
                <w:rFonts w:ascii="Arial" w:hAnsi="Arial" w:cs="Arial"/>
                <w:color w:val="000000"/>
                <w:sz w:val="17"/>
                <w:szCs w:val="17"/>
              </w:rPr>
              <w:t xml:space="preserve">         159,989,750</w:t>
            </w:r>
          </w:p>
        </w:tc>
      </w:tr>
      <w:tr w:rsidR="006520E3" w:rsidRPr="00126F00" w:rsidTr="007D3680">
        <w:trPr>
          <w:trHeight w:val="240"/>
          <w:jc w:val="center"/>
        </w:trPr>
        <w:tc>
          <w:tcPr>
            <w:tcW w:w="720" w:type="dxa"/>
            <w:tcBorders>
              <w:top w:val="single" w:sz="4" w:space="0" w:color="auto"/>
              <w:left w:val="nil"/>
              <w:bottom w:val="nil"/>
              <w:right w:val="single" w:sz="4" w:space="0" w:color="auto"/>
            </w:tcBorders>
          </w:tcPr>
          <w:p w:rsidR="006520E3" w:rsidRPr="007D3680" w:rsidRDefault="006520E3" w:rsidP="00137283">
            <w:pPr>
              <w:jc w:val="center"/>
              <w:rPr>
                <w:rFonts w:ascii="Arial" w:hAnsi="Arial" w:cs="Arial"/>
                <w:b/>
                <w:color w:val="000000"/>
                <w:sz w:val="17"/>
                <w:szCs w:val="17"/>
              </w:rPr>
            </w:pPr>
          </w:p>
        </w:tc>
        <w:tc>
          <w:tcPr>
            <w:tcW w:w="7371" w:type="dxa"/>
            <w:tcBorders>
              <w:top w:val="single" w:sz="4" w:space="0" w:color="auto"/>
              <w:left w:val="nil"/>
              <w:bottom w:val="single" w:sz="4" w:space="0" w:color="auto"/>
              <w:right w:val="single" w:sz="4" w:space="0" w:color="auto"/>
            </w:tcBorders>
            <w:shd w:val="clear" w:color="auto" w:fill="auto"/>
            <w:noWrap/>
            <w:vAlign w:val="bottom"/>
          </w:tcPr>
          <w:p w:rsidR="006520E3" w:rsidRPr="007D3680" w:rsidRDefault="006520E3" w:rsidP="00137283">
            <w:pPr>
              <w:jc w:val="center"/>
              <w:rPr>
                <w:rFonts w:ascii="Arial" w:hAnsi="Arial" w:cs="Arial"/>
                <w:b/>
                <w:color w:val="000000"/>
                <w:sz w:val="17"/>
                <w:szCs w:val="17"/>
              </w:rPr>
            </w:pPr>
            <w:r w:rsidRPr="007D3680">
              <w:rPr>
                <w:rFonts w:ascii="Arial" w:hAnsi="Arial" w:cs="Arial"/>
                <w:b/>
                <w:color w:val="000000"/>
                <w:sz w:val="17"/>
                <w:szCs w:val="17"/>
              </w:rPr>
              <w:t>Total</w:t>
            </w:r>
          </w:p>
        </w:tc>
        <w:tc>
          <w:tcPr>
            <w:tcW w:w="1817" w:type="dxa"/>
            <w:tcBorders>
              <w:left w:val="single" w:sz="4" w:space="0" w:color="auto"/>
              <w:bottom w:val="single" w:sz="4" w:space="0" w:color="auto"/>
            </w:tcBorders>
          </w:tcPr>
          <w:p w:rsidR="006520E3" w:rsidRPr="007D3680" w:rsidRDefault="007D3680" w:rsidP="00137283">
            <w:pPr>
              <w:jc w:val="right"/>
              <w:rPr>
                <w:rFonts w:ascii="Arial" w:hAnsi="Arial" w:cs="Arial"/>
                <w:b/>
                <w:color w:val="000000"/>
                <w:sz w:val="17"/>
                <w:szCs w:val="17"/>
              </w:rPr>
            </w:pPr>
            <w:r w:rsidRPr="007D3680">
              <w:rPr>
                <w:rFonts w:ascii="Arial" w:hAnsi="Arial" w:cs="Arial"/>
                <w:b/>
                <w:color w:val="000000"/>
                <w:sz w:val="17"/>
                <w:szCs w:val="17"/>
              </w:rPr>
              <w:t>25,308,243,319</w:t>
            </w:r>
          </w:p>
        </w:tc>
      </w:tr>
    </w:tbl>
    <w:p w:rsidR="006520E3" w:rsidRDefault="006520E3" w:rsidP="006520E3">
      <w:pPr>
        <w:rPr>
          <w:rFonts w:ascii="Arial" w:eastAsia="Calibri" w:hAnsi="Arial" w:cs="Arial"/>
          <w:b/>
          <w:spacing w:val="-1"/>
          <w:sz w:val="17"/>
          <w:szCs w:val="17"/>
        </w:rPr>
      </w:pPr>
    </w:p>
    <w:p w:rsidR="006520E3" w:rsidRPr="00292AEC" w:rsidRDefault="006520E3" w:rsidP="006520E3">
      <w:pPr>
        <w:rPr>
          <w:rFonts w:ascii="Arial" w:eastAsia="Calibri" w:hAnsi="Arial" w:cs="Arial"/>
          <w:spacing w:val="-1"/>
          <w:sz w:val="17"/>
          <w:szCs w:val="17"/>
        </w:rPr>
      </w:pPr>
    </w:p>
    <w:p w:rsidR="001F6ACF" w:rsidRPr="00292AEC" w:rsidRDefault="00CF4247" w:rsidP="001E5CB3">
      <w:pPr>
        <w:jc w:val="both"/>
        <w:rPr>
          <w:rFonts w:ascii="Arial" w:eastAsia="Calibri" w:hAnsi="Arial" w:cs="Arial"/>
          <w:spacing w:val="-1"/>
          <w:sz w:val="17"/>
          <w:szCs w:val="17"/>
          <w:highlight w:val="green"/>
        </w:rPr>
      </w:pPr>
      <w:r w:rsidRPr="0061701E">
        <w:rPr>
          <w:rFonts w:ascii="Arial" w:eastAsia="Calibri" w:hAnsi="Arial" w:cs="Arial"/>
          <w:spacing w:val="-1"/>
          <w:sz w:val="17"/>
          <w:szCs w:val="17"/>
        </w:rPr>
        <w:t xml:space="preserve">El saldo que se presenta en la cuenta Participaciones y Aportaciones de Capital a Largo Plazo en el Sector Público corresponde a la Participación de la Hacienda Pública </w:t>
      </w:r>
      <w:r w:rsidR="001876B4" w:rsidRPr="0061701E">
        <w:rPr>
          <w:rFonts w:ascii="Arial" w:eastAsia="Calibri" w:hAnsi="Arial" w:cs="Arial"/>
          <w:spacing w:val="-1"/>
          <w:sz w:val="17"/>
          <w:szCs w:val="17"/>
        </w:rPr>
        <w:t xml:space="preserve">que tiene el Poder Ejecutivo </w:t>
      </w:r>
      <w:r w:rsidRPr="0061701E">
        <w:rPr>
          <w:rFonts w:ascii="Arial" w:eastAsia="Calibri" w:hAnsi="Arial" w:cs="Arial"/>
          <w:spacing w:val="-1"/>
          <w:sz w:val="17"/>
          <w:szCs w:val="17"/>
        </w:rPr>
        <w:t>en las Entidades Parae</w:t>
      </w:r>
      <w:r w:rsidR="001F6ACF" w:rsidRPr="0061701E">
        <w:rPr>
          <w:rFonts w:ascii="Arial" w:eastAsia="Calibri" w:hAnsi="Arial" w:cs="Arial"/>
          <w:spacing w:val="-1"/>
          <w:sz w:val="17"/>
          <w:szCs w:val="17"/>
        </w:rPr>
        <w:t xml:space="preserve">statales al 31 de </w:t>
      </w:r>
      <w:r w:rsidR="0050443D" w:rsidRPr="0061701E">
        <w:rPr>
          <w:rFonts w:ascii="Arial" w:eastAsia="Calibri" w:hAnsi="Arial" w:cs="Arial"/>
          <w:spacing w:val="-1"/>
          <w:sz w:val="17"/>
          <w:szCs w:val="17"/>
        </w:rPr>
        <w:t>Diciembre</w:t>
      </w:r>
      <w:r w:rsidR="001F6ACF" w:rsidRPr="0061701E">
        <w:rPr>
          <w:rFonts w:ascii="Arial" w:eastAsia="Calibri" w:hAnsi="Arial" w:cs="Arial"/>
          <w:spacing w:val="-1"/>
          <w:sz w:val="17"/>
          <w:szCs w:val="17"/>
        </w:rPr>
        <w:t xml:space="preserve"> de </w:t>
      </w:r>
      <w:r w:rsidR="001876B4" w:rsidRPr="0061701E">
        <w:rPr>
          <w:rFonts w:ascii="Arial" w:eastAsia="Calibri" w:hAnsi="Arial" w:cs="Arial"/>
          <w:spacing w:val="-1"/>
          <w:sz w:val="17"/>
          <w:szCs w:val="17"/>
        </w:rPr>
        <w:t xml:space="preserve">2019 y el cual </w:t>
      </w:r>
      <w:r w:rsidRPr="0061701E">
        <w:rPr>
          <w:rFonts w:ascii="Arial" w:eastAsia="Calibri" w:hAnsi="Arial" w:cs="Arial"/>
          <w:spacing w:val="-1"/>
          <w:sz w:val="17"/>
          <w:szCs w:val="17"/>
        </w:rPr>
        <w:t xml:space="preserve">ha sido confirmada por los mismos, a excepción de la Universidad Autónoma de Querétaro en la cual se presenta cifras </w:t>
      </w:r>
      <w:r w:rsidR="001F6ACF" w:rsidRPr="0061701E">
        <w:rPr>
          <w:rFonts w:ascii="Arial" w:eastAsia="Calibri" w:hAnsi="Arial" w:cs="Arial"/>
          <w:spacing w:val="-1"/>
          <w:sz w:val="17"/>
          <w:szCs w:val="17"/>
        </w:rPr>
        <w:t xml:space="preserve">al 31 de </w:t>
      </w:r>
      <w:r w:rsidR="0050443D" w:rsidRPr="0061701E">
        <w:rPr>
          <w:rFonts w:ascii="Arial" w:eastAsia="Calibri" w:hAnsi="Arial" w:cs="Arial"/>
          <w:spacing w:val="-1"/>
          <w:sz w:val="17"/>
          <w:szCs w:val="17"/>
        </w:rPr>
        <w:t>Diciembre</w:t>
      </w:r>
      <w:r w:rsidR="001F6ACF" w:rsidRPr="0061701E">
        <w:rPr>
          <w:rFonts w:ascii="Arial" w:eastAsia="Calibri" w:hAnsi="Arial" w:cs="Arial"/>
          <w:spacing w:val="-1"/>
          <w:sz w:val="17"/>
          <w:szCs w:val="17"/>
        </w:rPr>
        <w:t xml:space="preserve"> de</w:t>
      </w:r>
      <w:r w:rsidRPr="0061701E">
        <w:rPr>
          <w:rFonts w:ascii="Arial" w:eastAsia="Calibri" w:hAnsi="Arial" w:cs="Arial"/>
          <w:spacing w:val="-1"/>
          <w:sz w:val="17"/>
          <w:szCs w:val="17"/>
        </w:rPr>
        <w:t xml:space="preserve"> 2018, toda vez que el Dictamen de Estados Financieros de la Universidad fue proporcionado cuando la Cuenta Pública Estatal de ese ejercicio </w:t>
      </w:r>
      <w:r w:rsidR="001F6ACF" w:rsidRPr="0061701E">
        <w:rPr>
          <w:rFonts w:ascii="Arial" w:eastAsia="Calibri" w:hAnsi="Arial" w:cs="Arial"/>
          <w:spacing w:val="-1"/>
          <w:sz w:val="17"/>
          <w:szCs w:val="17"/>
        </w:rPr>
        <w:t xml:space="preserve">ya </w:t>
      </w:r>
      <w:r w:rsidRPr="0061701E">
        <w:rPr>
          <w:rFonts w:ascii="Arial" w:eastAsia="Calibri" w:hAnsi="Arial" w:cs="Arial"/>
          <w:spacing w:val="-1"/>
          <w:sz w:val="17"/>
          <w:szCs w:val="17"/>
        </w:rPr>
        <w:t xml:space="preserve">había sido entregada a la Entidad Superior de Fiscalización del Estado lo que impidió realizar el </w:t>
      </w:r>
      <w:r w:rsidR="001876B4" w:rsidRPr="0061701E">
        <w:rPr>
          <w:rFonts w:ascii="Arial" w:eastAsia="Calibri" w:hAnsi="Arial" w:cs="Arial"/>
          <w:spacing w:val="-1"/>
          <w:sz w:val="17"/>
          <w:szCs w:val="17"/>
        </w:rPr>
        <w:t xml:space="preserve">registro </w:t>
      </w:r>
      <w:r w:rsidR="001F6ACF" w:rsidRPr="0061701E">
        <w:rPr>
          <w:rFonts w:ascii="Arial" w:eastAsia="Calibri" w:hAnsi="Arial" w:cs="Arial"/>
          <w:spacing w:val="-1"/>
          <w:sz w:val="17"/>
          <w:szCs w:val="17"/>
        </w:rPr>
        <w:t>contable oportunamente,</w:t>
      </w:r>
      <w:r w:rsidR="001876B4" w:rsidRPr="0061701E">
        <w:rPr>
          <w:rFonts w:ascii="Arial" w:eastAsia="Calibri" w:hAnsi="Arial" w:cs="Arial"/>
          <w:spacing w:val="-1"/>
          <w:sz w:val="17"/>
          <w:szCs w:val="17"/>
        </w:rPr>
        <w:t xml:space="preserve"> así mismo </w:t>
      </w:r>
      <w:r w:rsidR="001F6ACF" w:rsidRPr="0061701E">
        <w:rPr>
          <w:rFonts w:ascii="Arial" w:eastAsia="Calibri" w:hAnsi="Arial" w:cs="Arial"/>
          <w:spacing w:val="-1"/>
          <w:sz w:val="17"/>
          <w:szCs w:val="17"/>
        </w:rPr>
        <w:t>a la fecha de estas N</w:t>
      </w:r>
      <w:r w:rsidR="001876B4" w:rsidRPr="0061701E">
        <w:rPr>
          <w:rFonts w:ascii="Arial" w:eastAsia="Calibri" w:hAnsi="Arial" w:cs="Arial"/>
          <w:spacing w:val="-1"/>
          <w:sz w:val="17"/>
          <w:szCs w:val="17"/>
        </w:rPr>
        <w:t>otas no se ha proporcionado el dictamen correspondiente al ejercicio 2019</w:t>
      </w:r>
      <w:r w:rsidR="001E5CB3" w:rsidRPr="0061701E">
        <w:rPr>
          <w:rFonts w:ascii="Arial" w:eastAsia="Calibri" w:hAnsi="Arial" w:cs="Arial"/>
          <w:spacing w:val="-1"/>
          <w:sz w:val="17"/>
          <w:szCs w:val="17"/>
        </w:rPr>
        <w:t>.</w:t>
      </w:r>
      <w:r w:rsidR="001F6ACF" w:rsidRPr="0061701E">
        <w:rPr>
          <w:rFonts w:ascii="Arial" w:eastAsia="Calibri" w:hAnsi="Arial" w:cs="Arial"/>
          <w:spacing w:val="-1"/>
          <w:sz w:val="17"/>
          <w:szCs w:val="17"/>
        </w:rPr>
        <w:t xml:space="preserve"> Por lo que respecta a la cuenta Participaciones y Aportaciones de Capital a Largo Plazo en el Sector Privado (Centro Sur SA de CV), la administración de esta Entidad no ha proporcionado la información financiera ni el dictamen correspondiente al 31 de </w:t>
      </w:r>
      <w:r w:rsidR="0050443D" w:rsidRPr="0061701E">
        <w:rPr>
          <w:rFonts w:ascii="Arial" w:eastAsia="Calibri" w:hAnsi="Arial" w:cs="Arial"/>
          <w:spacing w:val="-1"/>
          <w:sz w:val="17"/>
          <w:szCs w:val="17"/>
        </w:rPr>
        <w:t>Diciembre</w:t>
      </w:r>
      <w:r w:rsidR="001F6ACF" w:rsidRPr="001F6ACF">
        <w:rPr>
          <w:rFonts w:ascii="Arial" w:eastAsia="Calibri" w:hAnsi="Arial" w:cs="Arial"/>
          <w:spacing w:val="-1"/>
          <w:sz w:val="17"/>
          <w:szCs w:val="17"/>
        </w:rPr>
        <w:t xml:space="preserve"> de 2019.</w:t>
      </w:r>
    </w:p>
    <w:p w:rsidR="003609A8" w:rsidRPr="00292AEC" w:rsidRDefault="003609A8" w:rsidP="0067731C">
      <w:pPr>
        <w:jc w:val="both"/>
        <w:rPr>
          <w:rFonts w:ascii="Arial" w:eastAsia="Calibri" w:hAnsi="Arial" w:cs="Arial"/>
          <w:spacing w:val="-1"/>
          <w:sz w:val="17"/>
          <w:szCs w:val="17"/>
          <w:highlight w:val="green"/>
        </w:rPr>
      </w:pPr>
    </w:p>
    <w:p w:rsidR="001F6ACF" w:rsidRPr="00292AEC" w:rsidRDefault="001E5CB3" w:rsidP="00405356">
      <w:pPr>
        <w:jc w:val="both"/>
        <w:rPr>
          <w:rFonts w:ascii="Arial" w:eastAsia="Calibri" w:hAnsi="Arial" w:cs="Arial"/>
          <w:spacing w:val="-1"/>
          <w:sz w:val="17"/>
          <w:szCs w:val="17"/>
        </w:rPr>
      </w:pPr>
      <w:r w:rsidRPr="00405356">
        <w:rPr>
          <w:rFonts w:ascii="Arial" w:eastAsia="Calibri" w:hAnsi="Arial" w:cs="Arial"/>
          <w:spacing w:val="-1"/>
          <w:sz w:val="17"/>
          <w:szCs w:val="17"/>
        </w:rPr>
        <w:t>Por otro lado</w:t>
      </w:r>
      <w:r w:rsidR="00AE319B" w:rsidRPr="00405356">
        <w:rPr>
          <w:rFonts w:ascii="Arial" w:eastAsia="Calibri" w:hAnsi="Arial" w:cs="Arial"/>
          <w:spacing w:val="-1"/>
          <w:sz w:val="17"/>
          <w:szCs w:val="17"/>
        </w:rPr>
        <w:t>,</w:t>
      </w:r>
      <w:r w:rsidR="003609A8" w:rsidRPr="00405356">
        <w:rPr>
          <w:rFonts w:ascii="Arial" w:eastAsia="Calibri" w:hAnsi="Arial" w:cs="Arial"/>
          <w:spacing w:val="-1"/>
          <w:sz w:val="17"/>
          <w:szCs w:val="17"/>
        </w:rPr>
        <w:t xml:space="preserve"> la Entidad </w:t>
      </w:r>
      <w:r w:rsidR="0067731C" w:rsidRPr="00405356">
        <w:rPr>
          <w:rFonts w:ascii="Arial" w:eastAsia="Calibri" w:hAnsi="Arial" w:cs="Arial"/>
          <w:spacing w:val="-1"/>
          <w:sz w:val="17"/>
          <w:szCs w:val="17"/>
        </w:rPr>
        <w:t>Paraestatal</w:t>
      </w:r>
      <w:r w:rsidR="003609A8" w:rsidRPr="00405356">
        <w:rPr>
          <w:rFonts w:ascii="Arial" w:eastAsia="Calibri" w:hAnsi="Arial" w:cs="Arial"/>
          <w:spacing w:val="-1"/>
          <w:sz w:val="17"/>
          <w:szCs w:val="17"/>
        </w:rPr>
        <w:t xml:space="preserve"> </w:t>
      </w:r>
      <w:r w:rsidR="00405356" w:rsidRPr="00405356">
        <w:rPr>
          <w:rFonts w:ascii="Arial" w:hAnsi="Arial" w:cs="Arial"/>
          <w:color w:val="000000"/>
          <w:sz w:val="17"/>
          <w:szCs w:val="17"/>
        </w:rPr>
        <w:t>Régimen Estatal de Protección Social en Salud en el Estado de Querétaro</w:t>
      </w:r>
      <w:r w:rsidR="00405356" w:rsidRPr="00405356">
        <w:rPr>
          <w:rFonts w:ascii="Arial" w:eastAsia="Calibri" w:hAnsi="Arial" w:cs="Arial"/>
          <w:spacing w:val="-1"/>
          <w:sz w:val="17"/>
          <w:szCs w:val="17"/>
        </w:rPr>
        <w:t xml:space="preserve"> </w:t>
      </w:r>
      <w:r w:rsidR="003609A8" w:rsidRPr="00405356">
        <w:rPr>
          <w:rFonts w:ascii="Arial" w:eastAsia="Calibri" w:hAnsi="Arial" w:cs="Arial"/>
          <w:spacing w:val="-1"/>
          <w:sz w:val="17"/>
          <w:szCs w:val="17"/>
        </w:rPr>
        <w:t xml:space="preserve">muestra una </w:t>
      </w:r>
      <w:r w:rsidR="00405356" w:rsidRPr="00405356">
        <w:rPr>
          <w:rFonts w:ascii="Arial" w:eastAsia="Calibri" w:hAnsi="Arial" w:cs="Arial"/>
          <w:spacing w:val="-1"/>
          <w:sz w:val="17"/>
          <w:szCs w:val="17"/>
        </w:rPr>
        <w:t>inconsistencia</w:t>
      </w:r>
      <w:r w:rsidR="003609A8" w:rsidRPr="00405356">
        <w:rPr>
          <w:rFonts w:ascii="Arial" w:eastAsia="Calibri" w:hAnsi="Arial" w:cs="Arial"/>
          <w:spacing w:val="-1"/>
          <w:sz w:val="17"/>
          <w:szCs w:val="17"/>
        </w:rPr>
        <w:t xml:space="preserve"> en su </w:t>
      </w:r>
      <w:r w:rsidR="00AA7DF4" w:rsidRPr="00405356">
        <w:rPr>
          <w:rFonts w:ascii="Arial" w:eastAsia="Calibri" w:hAnsi="Arial" w:cs="Arial"/>
          <w:spacing w:val="-1"/>
          <w:sz w:val="17"/>
          <w:szCs w:val="17"/>
        </w:rPr>
        <w:t>Hacienda Pública</w:t>
      </w:r>
      <w:r w:rsidR="00405356" w:rsidRPr="00405356">
        <w:rPr>
          <w:rFonts w:ascii="Arial" w:eastAsia="Calibri" w:hAnsi="Arial" w:cs="Arial"/>
          <w:spacing w:val="-1"/>
          <w:sz w:val="17"/>
          <w:szCs w:val="17"/>
        </w:rPr>
        <w:t xml:space="preserve"> entre lo presentado en su</w:t>
      </w:r>
      <w:r w:rsidR="00405356">
        <w:rPr>
          <w:rFonts w:ascii="Arial" w:eastAsia="Calibri" w:hAnsi="Arial" w:cs="Arial"/>
          <w:spacing w:val="-1"/>
          <w:sz w:val="17"/>
          <w:szCs w:val="17"/>
        </w:rPr>
        <w:t>s</w:t>
      </w:r>
      <w:r w:rsidR="00405356" w:rsidRPr="00405356">
        <w:rPr>
          <w:rFonts w:ascii="Arial" w:eastAsia="Calibri" w:hAnsi="Arial" w:cs="Arial"/>
          <w:spacing w:val="-1"/>
          <w:sz w:val="17"/>
          <w:szCs w:val="17"/>
        </w:rPr>
        <w:t xml:space="preserve"> Estados Financieros Dictaminados y la Cuenta Pública</w:t>
      </w:r>
      <w:r w:rsidR="00405356">
        <w:rPr>
          <w:rFonts w:ascii="Arial" w:eastAsia="Calibri" w:hAnsi="Arial" w:cs="Arial"/>
          <w:spacing w:val="-1"/>
          <w:sz w:val="17"/>
          <w:szCs w:val="17"/>
        </w:rPr>
        <w:t xml:space="preserve"> 2019 entregada</w:t>
      </w:r>
      <w:r w:rsidR="00405356" w:rsidRPr="00405356">
        <w:rPr>
          <w:rFonts w:ascii="Arial" w:eastAsia="Calibri" w:hAnsi="Arial" w:cs="Arial"/>
          <w:spacing w:val="-1"/>
          <w:sz w:val="17"/>
          <w:szCs w:val="17"/>
        </w:rPr>
        <w:t xml:space="preserve"> al Poder Ejecutivo del Estado de Querétaro.</w:t>
      </w:r>
    </w:p>
    <w:p w:rsidR="006520E3" w:rsidRDefault="006520E3" w:rsidP="006520E3">
      <w:pPr>
        <w:rPr>
          <w:rFonts w:ascii="Arial" w:eastAsia="Calibri" w:hAnsi="Arial" w:cs="Arial"/>
          <w:b/>
          <w:spacing w:val="-1"/>
          <w:sz w:val="17"/>
          <w:szCs w:val="17"/>
        </w:rPr>
      </w:pPr>
    </w:p>
    <w:p w:rsidR="006520E3" w:rsidRPr="0010523D"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lastRenderedPageBreak/>
        <w:t>Fideicomisos, Mandatos y Análogos</w:t>
      </w:r>
    </w:p>
    <w:p w:rsidR="006520E3" w:rsidRDefault="006520E3" w:rsidP="006520E3">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lo</w:t>
      </w:r>
      <w:r w:rsidR="00993A17">
        <w:rPr>
          <w:rFonts w:ascii="Arial" w:eastAsia="Calibri" w:hAnsi="Arial" w:cs="Arial"/>
          <w:spacing w:val="-1"/>
          <w:sz w:val="17"/>
          <w:szCs w:val="17"/>
        </w:rPr>
        <w:t xml:space="preserve"> referente a los Fideicomisos, Mandatos y A</w:t>
      </w:r>
      <w:r w:rsidRPr="00DA3F3D">
        <w:rPr>
          <w:rFonts w:ascii="Arial" w:eastAsia="Calibri" w:hAnsi="Arial" w:cs="Arial"/>
          <w:spacing w:val="-1"/>
          <w:sz w:val="17"/>
          <w:szCs w:val="17"/>
        </w:rPr>
        <w:t>nálogos de los cuales es fideicomitente o fideicomisario, en conformidad con el “</w:t>
      </w:r>
      <w:r w:rsidRPr="00DA3F3D">
        <w:rPr>
          <w:rFonts w:ascii="Arial" w:eastAsia="Calibri" w:hAnsi="Arial" w:cs="Arial"/>
          <w:b/>
          <w:spacing w:val="-1"/>
          <w:sz w:val="17"/>
          <w:szCs w:val="17"/>
        </w:rPr>
        <w:t>Lineamientos que deberán observar los entes públicos para registrar en las cuentas de activo los fideicomisos sin estructura orgánica y contratos análogos, incluyendo mandatos</w:t>
      </w:r>
      <w:r w:rsidRPr="00DA3F3D">
        <w:rPr>
          <w:rFonts w:ascii="Arial" w:eastAsia="Calibri" w:hAnsi="Arial" w:cs="Arial"/>
          <w:spacing w:val="-1"/>
          <w:sz w:val="17"/>
          <w:szCs w:val="17"/>
        </w:rPr>
        <w:t>”, se registra</w:t>
      </w:r>
      <w:r>
        <w:rPr>
          <w:rFonts w:ascii="Arial" w:eastAsia="Calibri" w:hAnsi="Arial" w:cs="Arial"/>
          <w:spacing w:val="-1"/>
          <w:sz w:val="17"/>
          <w:szCs w:val="17"/>
        </w:rPr>
        <w:t>ron de la siguiente manera:</w:t>
      </w:r>
    </w:p>
    <w:p w:rsidR="006520E3" w:rsidRDefault="006520E3" w:rsidP="006520E3">
      <w:pPr>
        <w:spacing w:before="120" w:after="120" w:line="240" w:lineRule="exact"/>
        <w:jc w:val="both"/>
        <w:rPr>
          <w:rFonts w:ascii="Arial" w:eastAsia="Calibri" w:hAnsi="Arial" w:cs="Arial"/>
          <w:spacing w:val="-1"/>
          <w:sz w:val="17"/>
          <w:szCs w:val="17"/>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8954"/>
        <w:gridCol w:w="1680"/>
      </w:tblGrid>
      <w:tr w:rsidR="006520E3" w:rsidRPr="00BC681E" w:rsidTr="00137283">
        <w:trPr>
          <w:trHeight w:val="300"/>
        </w:trPr>
        <w:tc>
          <w:tcPr>
            <w:tcW w:w="10634" w:type="dxa"/>
            <w:gridSpan w:val="2"/>
            <w:tcBorders>
              <w:top w:val="single" w:sz="4" w:space="0" w:color="auto"/>
              <w:left w:val="single" w:sz="4" w:space="0" w:color="auto"/>
              <w:right w:val="single" w:sz="4" w:space="0" w:color="auto"/>
            </w:tcBorders>
            <w:shd w:val="clear" w:color="000000" w:fill="B4C6E7"/>
            <w:noWrap/>
            <w:vAlign w:val="bottom"/>
            <w:hideMark/>
          </w:tcPr>
          <w:p w:rsidR="006520E3" w:rsidRPr="00BC681E" w:rsidRDefault="006520E3" w:rsidP="00137283">
            <w:pPr>
              <w:jc w:val="center"/>
              <w:rPr>
                <w:rFonts w:ascii="Arial" w:hAnsi="Arial" w:cs="Arial"/>
                <w:b/>
                <w:bCs/>
                <w:color w:val="000000"/>
                <w:sz w:val="17"/>
                <w:szCs w:val="17"/>
              </w:rPr>
            </w:pPr>
            <w:r w:rsidRPr="00BC681E">
              <w:rPr>
                <w:rFonts w:ascii="Arial" w:hAnsi="Arial" w:cs="Arial"/>
                <w:b/>
                <w:bCs/>
                <w:color w:val="000000"/>
                <w:sz w:val="17"/>
                <w:szCs w:val="17"/>
              </w:rPr>
              <w:t>Secretaría de Planeación y Finanzas</w:t>
            </w:r>
          </w:p>
        </w:tc>
      </w:tr>
      <w:tr w:rsidR="006520E3" w:rsidRPr="00BC681E" w:rsidTr="00137283">
        <w:trPr>
          <w:trHeight w:val="300"/>
        </w:trPr>
        <w:tc>
          <w:tcPr>
            <w:tcW w:w="8954" w:type="dxa"/>
            <w:tcBorders>
              <w:top w:val="nil"/>
              <w:left w:val="single" w:sz="4" w:space="0" w:color="auto"/>
              <w:bottom w:val="single" w:sz="4" w:space="0" w:color="auto"/>
              <w:right w:val="single" w:sz="4" w:space="0" w:color="auto"/>
            </w:tcBorders>
            <w:shd w:val="clear" w:color="auto" w:fill="auto"/>
            <w:noWrap/>
            <w:vAlign w:val="bottom"/>
            <w:hideMark/>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Fondo Metropolitano Ciudad de Querétaro</w:t>
            </w:r>
          </w:p>
        </w:tc>
        <w:tc>
          <w:tcPr>
            <w:tcW w:w="1680" w:type="dxa"/>
            <w:tcBorders>
              <w:top w:val="nil"/>
              <w:left w:val="nil"/>
              <w:bottom w:val="single" w:sz="4" w:space="0" w:color="auto"/>
              <w:right w:val="single" w:sz="4" w:space="0" w:color="auto"/>
            </w:tcBorders>
            <w:shd w:val="clear" w:color="auto" w:fill="auto"/>
            <w:noWrap/>
            <w:vAlign w:val="bottom"/>
            <w:hideMark/>
          </w:tcPr>
          <w:p w:rsidR="006520E3" w:rsidRPr="00BC681E" w:rsidRDefault="006520E3" w:rsidP="00137283">
            <w:pPr>
              <w:jc w:val="right"/>
              <w:rPr>
                <w:rFonts w:ascii="Arial" w:hAnsi="Arial" w:cs="Arial"/>
                <w:color w:val="000000"/>
                <w:sz w:val="17"/>
                <w:szCs w:val="17"/>
              </w:rPr>
            </w:pPr>
            <w:r w:rsidRPr="00BC681E">
              <w:rPr>
                <w:rFonts w:ascii="Arial" w:hAnsi="Arial" w:cs="Arial"/>
                <w:color w:val="000000"/>
                <w:sz w:val="17"/>
                <w:szCs w:val="17"/>
              </w:rPr>
              <w:t>36,204</w:t>
            </w:r>
          </w:p>
        </w:tc>
      </w:tr>
    </w:tbl>
    <w:p w:rsidR="006520E3" w:rsidRPr="00BC681E" w:rsidRDefault="006520E3" w:rsidP="006520E3">
      <w:pPr>
        <w:spacing w:before="120" w:after="120" w:line="240" w:lineRule="exact"/>
        <w:jc w:val="both"/>
        <w:rPr>
          <w:rFonts w:ascii="Arial" w:eastAsia="Calibri" w:hAnsi="Arial" w:cs="Arial"/>
          <w:spacing w:val="-1"/>
          <w:sz w:val="17"/>
          <w:szCs w:val="17"/>
        </w:rPr>
      </w:pPr>
    </w:p>
    <w:p w:rsidR="006520E3" w:rsidRPr="00BC681E" w:rsidRDefault="006520E3" w:rsidP="006520E3">
      <w:pPr>
        <w:spacing w:before="120" w:after="120" w:line="240" w:lineRule="exact"/>
        <w:jc w:val="both"/>
        <w:rPr>
          <w:rFonts w:ascii="Arial" w:eastAsia="Calibri" w:hAnsi="Arial" w:cs="Arial"/>
          <w:spacing w:val="-1"/>
          <w:sz w:val="17"/>
          <w:szCs w:val="17"/>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8954"/>
        <w:gridCol w:w="1680"/>
      </w:tblGrid>
      <w:tr w:rsidR="006520E3" w:rsidRPr="00BC681E" w:rsidTr="00137283">
        <w:trPr>
          <w:trHeight w:val="300"/>
        </w:trPr>
        <w:tc>
          <w:tcPr>
            <w:tcW w:w="10634" w:type="dxa"/>
            <w:gridSpan w:val="2"/>
            <w:tcBorders>
              <w:top w:val="single" w:sz="4" w:space="0" w:color="auto"/>
              <w:left w:val="single" w:sz="4" w:space="0" w:color="auto"/>
              <w:right w:val="single" w:sz="4" w:space="0" w:color="auto"/>
            </w:tcBorders>
            <w:shd w:val="clear" w:color="000000" w:fill="B4C6E7"/>
            <w:noWrap/>
            <w:vAlign w:val="bottom"/>
            <w:hideMark/>
          </w:tcPr>
          <w:p w:rsidR="006520E3" w:rsidRPr="00BC681E" w:rsidRDefault="006520E3" w:rsidP="00137283">
            <w:pPr>
              <w:jc w:val="center"/>
              <w:rPr>
                <w:rFonts w:ascii="Arial" w:hAnsi="Arial" w:cs="Arial"/>
                <w:b/>
                <w:bCs/>
                <w:color w:val="000000"/>
                <w:sz w:val="17"/>
                <w:szCs w:val="17"/>
              </w:rPr>
            </w:pPr>
            <w:r w:rsidRPr="00BC681E">
              <w:rPr>
                <w:rFonts w:ascii="Arial" w:hAnsi="Arial" w:cs="Arial"/>
                <w:b/>
                <w:bCs/>
                <w:color w:val="000000"/>
                <w:sz w:val="17"/>
                <w:szCs w:val="17"/>
              </w:rPr>
              <w:t>Secretaría de la Contraloría</w:t>
            </w:r>
          </w:p>
        </w:tc>
      </w:tr>
      <w:tr w:rsidR="006520E3" w:rsidRPr="00BC681E" w:rsidTr="00137283">
        <w:trPr>
          <w:trHeight w:val="300"/>
        </w:trPr>
        <w:tc>
          <w:tcPr>
            <w:tcW w:w="8954" w:type="dxa"/>
            <w:tcBorders>
              <w:top w:val="nil"/>
              <w:left w:val="single" w:sz="4" w:space="0" w:color="auto"/>
              <w:bottom w:val="single" w:sz="4" w:space="0" w:color="auto"/>
              <w:right w:val="single" w:sz="4" w:space="0" w:color="auto"/>
            </w:tcBorders>
            <w:shd w:val="clear" w:color="auto" w:fill="auto"/>
            <w:noWrap/>
            <w:hideMark/>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Fideicomiso Ciudad Industrial Benito Juárez (FIDEQRO)</w:t>
            </w:r>
          </w:p>
        </w:tc>
        <w:tc>
          <w:tcPr>
            <w:tcW w:w="1680" w:type="dxa"/>
            <w:tcBorders>
              <w:top w:val="nil"/>
              <w:left w:val="nil"/>
              <w:bottom w:val="single" w:sz="4" w:space="0" w:color="auto"/>
              <w:right w:val="single" w:sz="4" w:space="0" w:color="auto"/>
            </w:tcBorders>
            <w:shd w:val="clear" w:color="auto" w:fill="auto"/>
            <w:noWrap/>
            <w:hideMark/>
          </w:tcPr>
          <w:p w:rsidR="006520E3" w:rsidRPr="00BC681E" w:rsidRDefault="006520E3" w:rsidP="00137283">
            <w:pPr>
              <w:jc w:val="right"/>
              <w:rPr>
                <w:rFonts w:ascii="Arial" w:hAnsi="Arial" w:cs="Arial"/>
                <w:color w:val="000000"/>
                <w:sz w:val="17"/>
                <w:szCs w:val="17"/>
              </w:rPr>
            </w:pPr>
            <w:r w:rsidRPr="00BC681E">
              <w:rPr>
                <w:rFonts w:ascii="Arial" w:hAnsi="Arial" w:cs="Arial"/>
                <w:color w:val="000000"/>
                <w:sz w:val="17"/>
                <w:szCs w:val="17"/>
              </w:rPr>
              <w:t>534,500</w:t>
            </w:r>
          </w:p>
        </w:tc>
      </w:tr>
    </w:tbl>
    <w:p w:rsidR="006520E3" w:rsidRPr="00BC681E" w:rsidRDefault="006520E3" w:rsidP="006520E3">
      <w:pPr>
        <w:spacing w:before="120" w:after="120" w:line="240" w:lineRule="exact"/>
        <w:jc w:val="both"/>
        <w:rPr>
          <w:rFonts w:ascii="Arial" w:eastAsia="Calibri" w:hAnsi="Arial" w:cs="Arial"/>
          <w:spacing w:val="-1"/>
          <w:sz w:val="17"/>
          <w:szCs w:val="17"/>
        </w:rPr>
      </w:pPr>
    </w:p>
    <w:p w:rsidR="006520E3" w:rsidRPr="00BC681E" w:rsidRDefault="006520E3" w:rsidP="006520E3">
      <w:pPr>
        <w:spacing w:before="120" w:after="120" w:line="240" w:lineRule="exact"/>
        <w:jc w:val="both"/>
        <w:rPr>
          <w:rFonts w:ascii="Arial" w:eastAsia="Calibri" w:hAnsi="Arial" w:cs="Arial"/>
          <w:spacing w:val="-1"/>
          <w:sz w:val="17"/>
          <w:szCs w:val="17"/>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8954"/>
        <w:gridCol w:w="1680"/>
      </w:tblGrid>
      <w:tr w:rsidR="006520E3" w:rsidRPr="00BC681E" w:rsidTr="00137283">
        <w:trPr>
          <w:trHeight w:val="300"/>
        </w:trPr>
        <w:tc>
          <w:tcPr>
            <w:tcW w:w="10634"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6520E3" w:rsidRPr="00BC681E" w:rsidRDefault="006520E3" w:rsidP="00137283">
            <w:pPr>
              <w:jc w:val="center"/>
              <w:rPr>
                <w:rFonts w:ascii="Arial" w:hAnsi="Arial" w:cs="Arial"/>
                <w:b/>
                <w:bCs/>
                <w:color w:val="000000"/>
                <w:sz w:val="17"/>
                <w:szCs w:val="17"/>
              </w:rPr>
            </w:pPr>
            <w:r w:rsidRPr="00BC681E">
              <w:rPr>
                <w:rFonts w:ascii="Arial" w:hAnsi="Arial" w:cs="Arial"/>
                <w:b/>
                <w:bCs/>
                <w:color w:val="000000"/>
                <w:sz w:val="17"/>
                <w:szCs w:val="17"/>
              </w:rPr>
              <w:t>Secretaría de Turismo</w:t>
            </w:r>
          </w:p>
        </w:tc>
      </w:tr>
      <w:tr w:rsidR="006520E3" w:rsidRPr="00BC681E" w:rsidTr="00137283">
        <w:trPr>
          <w:trHeight w:val="300"/>
        </w:trPr>
        <w:tc>
          <w:tcPr>
            <w:tcW w:w="8954" w:type="dxa"/>
            <w:tcBorders>
              <w:top w:val="nil"/>
              <w:left w:val="single" w:sz="4" w:space="0" w:color="auto"/>
              <w:bottom w:val="single" w:sz="4" w:space="0" w:color="auto"/>
              <w:right w:val="single" w:sz="4" w:space="0" w:color="auto"/>
            </w:tcBorders>
            <w:shd w:val="clear" w:color="auto" w:fill="auto"/>
            <w:noWrap/>
            <w:vAlign w:val="bottom"/>
            <w:hideMark/>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Fideicomiso Promotor de Turismo en el Estado de Querétaro "FIPROTUR"</w:t>
            </w:r>
          </w:p>
        </w:tc>
        <w:tc>
          <w:tcPr>
            <w:tcW w:w="1680" w:type="dxa"/>
            <w:tcBorders>
              <w:top w:val="nil"/>
              <w:left w:val="nil"/>
              <w:bottom w:val="single" w:sz="4" w:space="0" w:color="auto"/>
              <w:right w:val="single" w:sz="4" w:space="0" w:color="auto"/>
            </w:tcBorders>
            <w:shd w:val="clear" w:color="auto" w:fill="auto"/>
            <w:noWrap/>
            <w:vAlign w:val="bottom"/>
            <w:hideMark/>
          </w:tcPr>
          <w:p w:rsidR="006520E3" w:rsidRPr="00BC681E" w:rsidRDefault="006520E3" w:rsidP="00137283">
            <w:pPr>
              <w:jc w:val="right"/>
              <w:rPr>
                <w:rFonts w:ascii="Arial" w:hAnsi="Arial" w:cs="Arial"/>
                <w:color w:val="000000"/>
                <w:sz w:val="17"/>
                <w:szCs w:val="17"/>
              </w:rPr>
            </w:pPr>
            <w:r w:rsidRPr="00BC681E">
              <w:rPr>
                <w:rFonts w:ascii="Arial" w:hAnsi="Arial" w:cs="Arial"/>
                <w:color w:val="000000"/>
                <w:sz w:val="17"/>
                <w:szCs w:val="17"/>
              </w:rPr>
              <w:t>7,323,906</w:t>
            </w:r>
          </w:p>
        </w:tc>
      </w:tr>
    </w:tbl>
    <w:p w:rsidR="006520E3" w:rsidRPr="00BC681E" w:rsidRDefault="006520E3" w:rsidP="006520E3">
      <w:pPr>
        <w:spacing w:before="120" w:after="120" w:line="240" w:lineRule="exact"/>
        <w:jc w:val="both"/>
        <w:rPr>
          <w:rFonts w:ascii="Arial" w:eastAsia="Calibri" w:hAnsi="Arial" w:cs="Arial"/>
          <w:spacing w:val="-1"/>
          <w:sz w:val="17"/>
          <w:szCs w:val="17"/>
        </w:rPr>
      </w:pPr>
    </w:p>
    <w:p w:rsidR="006520E3" w:rsidRPr="00BC681E" w:rsidRDefault="006520E3" w:rsidP="006520E3">
      <w:pPr>
        <w:spacing w:before="120" w:after="120" w:line="240" w:lineRule="exact"/>
        <w:jc w:val="both"/>
        <w:rPr>
          <w:rFonts w:ascii="Arial" w:eastAsia="Calibri" w:hAnsi="Arial" w:cs="Arial"/>
          <w:spacing w:val="-1"/>
          <w:sz w:val="17"/>
          <w:szCs w:val="17"/>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8954"/>
        <w:gridCol w:w="1680"/>
      </w:tblGrid>
      <w:tr w:rsidR="006520E3" w:rsidRPr="00BC681E" w:rsidTr="00137283">
        <w:trPr>
          <w:trHeight w:val="300"/>
        </w:trPr>
        <w:tc>
          <w:tcPr>
            <w:tcW w:w="10634"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6520E3" w:rsidRPr="00BC681E" w:rsidRDefault="006520E3" w:rsidP="00137283">
            <w:pPr>
              <w:jc w:val="center"/>
              <w:rPr>
                <w:rFonts w:ascii="Arial" w:hAnsi="Arial" w:cs="Arial"/>
                <w:b/>
                <w:bCs/>
                <w:color w:val="000000"/>
                <w:sz w:val="17"/>
                <w:szCs w:val="17"/>
              </w:rPr>
            </w:pPr>
            <w:r w:rsidRPr="00BC681E">
              <w:rPr>
                <w:rFonts w:ascii="Arial" w:hAnsi="Arial" w:cs="Arial"/>
                <w:b/>
                <w:bCs/>
                <w:color w:val="000000"/>
                <w:sz w:val="17"/>
                <w:szCs w:val="17"/>
              </w:rPr>
              <w:t>Secretaría de Desarrollo Agropecuario</w:t>
            </w:r>
          </w:p>
        </w:tc>
      </w:tr>
      <w:tr w:rsidR="006520E3" w:rsidRPr="00BC681E" w:rsidTr="00137283">
        <w:trPr>
          <w:trHeight w:val="300"/>
        </w:trPr>
        <w:tc>
          <w:tcPr>
            <w:tcW w:w="8954" w:type="dxa"/>
            <w:tcBorders>
              <w:top w:val="single" w:sz="4" w:space="0" w:color="auto"/>
              <w:left w:val="single" w:sz="4" w:space="0" w:color="auto"/>
              <w:bottom w:val="single" w:sz="4" w:space="0" w:color="auto"/>
              <w:right w:val="single" w:sz="4" w:space="0" w:color="auto"/>
            </w:tcBorders>
            <w:shd w:val="clear" w:color="auto" w:fill="auto"/>
            <w:noWrap/>
            <w:hideMark/>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Fideicomiso Irrevocable de Inversión, Administración y Garantía (FIRE2000)</w:t>
            </w:r>
          </w:p>
        </w:tc>
        <w:tc>
          <w:tcPr>
            <w:tcW w:w="1680" w:type="dxa"/>
            <w:tcBorders>
              <w:top w:val="single" w:sz="4" w:space="0" w:color="auto"/>
              <w:left w:val="nil"/>
              <w:bottom w:val="single" w:sz="4" w:space="0" w:color="auto"/>
              <w:right w:val="single" w:sz="4" w:space="0" w:color="auto"/>
            </w:tcBorders>
            <w:shd w:val="clear" w:color="auto" w:fill="auto"/>
            <w:noWrap/>
          </w:tcPr>
          <w:p w:rsidR="006520E3" w:rsidRPr="00BC681E" w:rsidRDefault="006520E3" w:rsidP="00137283">
            <w:pPr>
              <w:jc w:val="right"/>
              <w:rPr>
                <w:rFonts w:ascii="Arial" w:hAnsi="Arial" w:cs="Arial"/>
                <w:color w:val="000000"/>
                <w:sz w:val="17"/>
                <w:szCs w:val="17"/>
              </w:rPr>
            </w:pPr>
            <w:r w:rsidRPr="00BC681E">
              <w:rPr>
                <w:rFonts w:ascii="Arial" w:hAnsi="Arial" w:cs="Arial"/>
                <w:color w:val="000000"/>
                <w:sz w:val="17"/>
                <w:szCs w:val="17"/>
              </w:rPr>
              <w:t>485,451</w:t>
            </w:r>
          </w:p>
        </w:tc>
      </w:tr>
      <w:tr w:rsidR="006520E3" w:rsidRPr="00BC681E" w:rsidTr="00137283">
        <w:trPr>
          <w:trHeight w:val="300"/>
        </w:trPr>
        <w:tc>
          <w:tcPr>
            <w:tcW w:w="8954" w:type="dxa"/>
            <w:tcBorders>
              <w:top w:val="single" w:sz="4" w:space="0" w:color="auto"/>
              <w:left w:val="single" w:sz="4" w:space="0" w:color="auto"/>
              <w:bottom w:val="single" w:sz="4" w:space="0" w:color="auto"/>
              <w:right w:val="single" w:sz="4" w:space="0" w:color="auto"/>
            </w:tcBorders>
            <w:shd w:val="clear" w:color="auto" w:fill="auto"/>
            <w:noWrap/>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Fideicomiso Fondo de Diversificación Productiva en la Sierra Gorda</w:t>
            </w:r>
          </w:p>
        </w:tc>
        <w:tc>
          <w:tcPr>
            <w:tcW w:w="1680" w:type="dxa"/>
            <w:tcBorders>
              <w:top w:val="single" w:sz="4" w:space="0" w:color="auto"/>
              <w:left w:val="nil"/>
              <w:bottom w:val="single" w:sz="4" w:space="0" w:color="auto"/>
              <w:right w:val="single" w:sz="4" w:space="0" w:color="auto"/>
            </w:tcBorders>
            <w:shd w:val="clear" w:color="auto" w:fill="auto"/>
            <w:noWrap/>
          </w:tcPr>
          <w:p w:rsidR="006520E3" w:rsidRPr="00BC681E" w:rsidRDefault="006520E3" w:rsidP="00137283">
            <w:pPr>
              <w:jc w:val="right"/>
              <w:rPr>
                <w:rFonts w:ascii="Arial" w:hAnsi="Arial" w:cs="Arial"/>
                <w:color w:val="000000"/>
                <w:sz w:val="17"/>
                <w:szCs w:val="17"/>
              </w:rPr>
            </w:pPr>
            <w:r w:rsidRPr="00BC681E">
              <w:rPr>
                <w:rFonts w:ascii="Arial" w:hAnsi="Arial" w:cs="Arial"/>
                <w:color w:val="000000"/>
                <w:sz w:val="17"/>
                <w:szCs w:val="17"/>
              </w:rPr>
              <w:t>1,175,722</w:t>
            </w:r>
          </w:p>
        </w:tc>
      </w:tr>
      <w:tr w:rsidR="006520E3" w:rsidRPr="00BC681E" w:rsidTr="00137283">
        <w:trPr>
          <w:trHeight w:val="300"/>
        </w:trPr>
        <w:tc>
          <w:tcPr>
            <w:tcW w:w="8954" w:type="dxa"/>
            <w:tcBorders>
              <w:top w:val="single" w:sz="4" w:space="0" w:color="auto"/>
              <w:left w:val="single" w:sz="4" w:space="0" w:color="auto"/>
              <w:bottom w:val="single" w:sz="4" w:space="0" w:color="auto"/>
              <w:right w:val="single" w:sz="4" w:space="0" w:color="auto"/>
            </w:tcBorders>
            <w:shd w:val="clear" w:color="auto" w:fill="auto"/>
            <w:noWrap/>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Fondo de Fomento Agropecuario del Estado de Querétaro (FOFAE)</w:t>
            </w:r>
          </w:p>
        </w:tc>
        <w:tc>
          <w:tcPr>
            <w:tcW w:w="1680" w:type="dxa"/>
            <w:tcBorders>
              <w:top w:val="single" w:sz="4" w:space="0" w:color="auto"/>
              <w:left w:val="nil"/>
              <w:bottom w:val="single" w:sz="4" w:space="0" w:color="auto"/>
              <w:right w:val="single" w:sz="4" w:space="0" w:color="auto"/>
            </w:tcBorders>
            <w:shd w:val="clear" w:color="auto" w:fill="auto"/>
            <w:noWrap/>
          </w:tcPr>
          <w:p w:rsidR="006520E3" w:rsidRPr="00BC681E" w:rsidRDefault="006520E3" w:rsidP="00137283">
            <w:pPr>
              <w:jc w:val="right"/>
              <w:rPr>
                <w:rFonts w:ascii="Arial" w:hAnsi="Arial" w:cs="Arial"/>
                <w:color w:val="000000"/>
                <w:sz w:val="17"/>
                <w:szCs w:val="17"/>
              </w:rPr>
            </w:pPr>
            <w:r w:rsidRPr="00BC681E">
              <w:rPr>
                <w:rFonts w:ascii="Arial" w:hAnsi="Arial" w:cs="Arial"/>
                <w:color w:val="000000"/>
                <w:sz w:val="17"/>
                <w:szCs w:val="17"/>
              </w:rPr>
              <w:t>165,127,549</w:t>
            </w:r>
          </w:p>
        </w:tc>
      </w:tr>
      <w:tr w:rsidR="006520E3" w:rsidRPr="00BA3389" w:rsidTr="00137283">
        <w:trPr>
          <w:trHeight w:val="300"/>
        </w:trPr>
        <w:tc>
          <w:tcPr>
            <w:tcW w:w="8954" w:type="dxa"/>
            <w:tcBorders>
              <w:top w:val="single" w:sz="4" w:space="0" w:color="auto"/>
              <w:left w:val="single" w:sz="4" w:space="0" w:color="auto"/>
              <w:bottom w:val="single" w:sz="4" w:space="0" w:color="auto"/>
              <w:right w:val="single" w:sz="4" w:space="0" w:color="auto"/>
            </w:tcBorders>
            <w:shd w:val="clear" w:color="auto" w:fill="auto"/>
            <w:noWrap/>
          </w:tcPr>
          <w:p w:rsidR="006520E3" w:rsidRPr="00BC681E" w:rsidRDefault="006520E3" w:rsidP="00137283">
            <w:pPr>
              <w:rPr>
                <w:rFonts w:ascii="Arial" w:hAnsi="Arial" w:cs="Arial"/>
                <w:color w:val="000000"/>
                <w:sz w:val="17"/>
                <w:szCs w:val="17"/>
              </w:rPr>
            </w:pPr>
            <w:r w:rsidRPr="00BC681E">
              <w:rPr>
                <w:rFonts w:ascii="Arial" w:hAnsi="Arial" w:cs="Arial"/>
                <w:color w:val="000000"/>
                <w:sz w:val="17"/>
                <w:szCs w:val="17"/>
              </w:rPr>
              <w:t>Fideicomiso de Garantía para Proyectos Productivos del Estado de Querétaro (FIGAPPEQ)</w:t>
            </w:r>
          </w:p>
        </w:tc>
        <w:tc>
          <w:tcPr>
            <w:tcW w:w="1680" w:type="dxa"/>
            <w:tcBorders>
              <w:top w:val="single" w:sz="4" w:space="0" w:color="auto"/>
              <w:left w:val="nil"/>
              <w:bottom w:val="single" w:sz="4" w:space="0" w:color="auto"/>
              <w:right w:val="single" w:sz="4" w:space="0" w:color="auto"/>
            </w:tcBorders>
            <w:shd w:val="clear" w:color="auto" w:fill="auto"/>
            <w:noWrap/>
          </w:tcPr>
          <w:p w:rsidR="006520E3" w:rsidRPr="006772E3" w:rsidRDefault="006520E3" w:rsidP="00137283">
            <w:pPr>
              <w:jc w:val="right"/>
              <w:rPr>
                <w:rFonts w:ascii="Arial" w:hAnsi="Arial" w:cs="Arial"/>
                <w:color w:val="000000"/>
                <w:sz w:val="17"/>
                <w:szCs w:val="17"/>
              </w:rPr>
            </w:pPr>
            <w:r w:rsidRPr="00BC681E">
              <w:rPr>
                <w:rFonts w:ascii="Arial" w:hAnsi="Arial" w:cs="Arial"/>
                <w:color w:val="000000"/>
                <w:sz w:val="17"/>
                <w:szCs w:val="17"/>
              </w:rPr>
              <w:t>15,725,527</w:t>
            </w:r>
          </w:p>
        </w:tc>
      </w:tr>
    </w:tbl>
    <w:p w:rsidR="006520E3" w:rsidRDefault="006520E3" w:rsidP="006520E3">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br w:type="textWrapping" w:clear="all"/>
      </w:r>
    </w:p>
    <w:p w:rsidR="006520E3" w:rsidRDefault="006520E3" w:rsidP="006520E3">
      <w:pPr>
        <w:spacing w:before="120" w:after="120" w:line="240" w:lineRule="exact"/>
        <w:jc w:val="both"/>
        <w:rPr>
          <w:rFonts w:ascii="Arial" w:eastAsia="Calibri" w:hAnsi="Arial" w:cs="Arial"/>
          <w:spacing w:val="-1"/>
          <w:sz w:val="17"/>
          <w:szCs w:val="17"/>
        </w:rPr>
      </w:pPr>
    </w:p>
    <w:p w:rsidR="006520E3" w:rsidRPr="00C13C01"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de la Re</w:t>
      </w:r>
      <w:r w:rsidRPr="00C13C01">
        <w:rPr>
          <w:rFonts w:ascii="Arial" w:eastAsia="Calibri" w:hAnsi="Arial" w:cs="Arial"/>
          <w:b/>
          <w:spacing w:val="-1"/>
          <w:sz w:val="17"/>
          <w:szCs w:val="17"/>
        </w:rPr>
        <w:t>caudación</w:t>
      </w:r>
    </w:p>
    <w:p w:rsidR="006520E3" w:rsidRPr="00C65AA8" w:rsidRDefault="004F6A96" w:rsidP="006520E3">
      <w:pPr>
        <w:spacing w:before="120" w:after="120" w:line="240" w:lineRule="exact"/>
        <w:jc w:val="both"/>
        <w:rPr>
          <w:rFonts w:ascii="Arial" w:eastAsia="Calibri" w:hAnsi="Arial" w:cs="Arial"/>
          <w:spacing w:val="-1"/>
          <w:sz w:val="17"/>
          <w:szCs w:val="17"/>
          <w:highlight w:val="yellow"/>
        </w:rPr>
      </w:pPr>
      <w:r w:rsidRPr="004F6A96">
        <w:rPr>
          <w:rFonts w:ascii="Arial" w:eastAsia="Calibri" w:hAnsi="Arial" w:cs="Arial"/>
          <w:spacing w:val="-1"/>
          <w:sz w:val="17"/>
          <w:szCs w:val="17"/>
        </w:rPr>
        <w:t>El 44</w:t>
      </w:r>
      <w:r w:rsidR="006520E3" w:rsidRPr="004F6A96">
        <w:rPr>
          <w:rFonts w:ascii="Arial" w:eastAsia="Calibri" w:hAnsi="Arial" w:cs="Arial"/>
          <w:spacing w:val="-1"/>
          <w:sz w:val="17"/>
          <w:szCs w:val="17"/>
        </w:rPr>
        <w:t xml:space="preserve">% de los ingresos de gestión está representado por el Impuesto sobre Nómina, seguido de los Derechos por Prestación de </w:t>
      </w:r>
      <w:r w:rsidRPr="004F6A96">
        <w:rPr>
          <w:rFonts w:ascii="Arial" w:eastAsia="Calibri" w:hAnsi="Arial" w:cs="Arial"/>
          <w:spacing w:val="-1"/>
          <w:sz w:val="17"/>
          <w:szCs w:val="17"/>
        </w:rPr>
        <w:t>Servicios con un 28</w:t>
      </w:r>
      <w:r w:rsidR="006520E3" w:rsidRPr="004F6A96">
        <w:rPr>
          <w:rFonts w:ascii="Arial" w:eastAsia="Calibri" w:hAnsi="Arial" w:cs="Arial"/>
          <w:spacing w:val="-1"/>
          <w:sz w:val="17"/>
          <w:szCs w:val="17"/>
        </w:rPr>
        <w:t>%.</w:t>
      </w:r>
    </w:p>
    <w:p w:rsidR="006520E3" w:rsidRDefault="006520E3" w:rsidP="006520E3">
      <w:pPr>
        <w:spacing w:before="120" w:after="120" w:line="240" w:lineRule="exact"/>
        <w:jc w:val="both"/>
        <w:rPr>
          <w:rFonts w:ascii="Arial" w:eastAsia="Calibri" w:hAnsi="Arial" w:cs="Arial"/>
          <w:spacing w:val="-1"/>
          <w:sz w:val="17"/>
          <w:szCs w:val="17"/>
        </w:rPr>
      </w:pPr>
      <w:r w:rsidRPr="00721CF0">
        <w:rPr>
          <w:rFonts w:ascii="Arial" w:eastAsia="Calibri" w:hAnsi="Arial" w:cs="Arial"/>
          <w:spacing w:val="-1"/>
          <w:sz w:val="17"/>
          <w:szCs w:val="17"/>
        </w:rPr>
        <w:t xml:space="preserve">Los ingresos </w:t>
      </w:r>
      <w:r w:rsidR="00392EE6" w:rsidRPr="00721CF0">
        <w:rPr>
          <w:rFonts w:ascii="Arial" w:eastAsia="Calibri" w:hAnsi="Arial" w:cs="Arial"/>
          <w:spacing w:val="-1"/>
          <w:sz w:val="17"/>
          <w:szCs w:val="17"/>
        </w:rPr>
        <w:t xml:space="preserve">aprobados </w:t>
      </w:r>
      <w:r w:rsidRPr="00721CF0">
        <w:rPr>
          <w:rFonts w:ascii="Arial" w:eastAsia="Calibri" w:hAnsi="Arial" w:cs="Arial"/>
          <w:spacing w:val="-1"/>
          <w:sz w:val="17"/>
          <w:szCs w:val="17"/>
        </w:rPr>
        <w:t>que se espera</w:t>
      </w:r>
      <w:r w:rsidR="00392EE6" w:rsidRPr="00721CF0">
        <w:rPr>
          <w:rFonts w:ascii="Arial" w:eastAsia="Calibri" w:hAnsi="Arial" w:cs="Arial"/>
          <w:spacing w:val="-1"/>
          <w:sz w:val="17"/>
          <w:szCs w:val="17"/>
        </w:rPr>
        <w:t xml:space="preserve">ban </w:t>
      </w:r>
      <w:r w:rsidRPr="00721CF0">
        <w:rPr>
          <w:rFonts w:ascii="Arial" w:eastAsia="Calibri" w:hAnsi="Arial" w:cs="Arial"/>
          <w:spacing w:val="-1"/>
          <w:sz w:val="17"/>
          <w:szCs w:val="17"/>
        </w:rPr>
        <w:t>recibir en el ejercicio 2019, se detallan de manera puntual en la Ley de Ingresos del Estado de Querétaro para el ejercicio 2019.</w:t>
      </w:r>
    </w:p>
    <w:p w:rsidR="006520E3" w:rsidRDefault="006520E3" w:rsidP="006520E3">
      <w:pPr>
        <w:spacing w:before="120" w:after="120" w:line="240" w:lineRule="exact"/>
        <w:jc w:val="both"/>
        <w:rPr>
          <w:rFonts w:ascii="Arial" w:eastAsia="Calibri" w:hAnsi="Arial" w:cs="Arial"/>
          <w:spacing w:val="-1"/>
          <w:sz w:val="17"/>
          <w:szCs w:val="17"/>
        </w:rPr>
      </w:pPr>
    </w:p>
    <w:p w:rsidR="00515775" w:rsidRDefault="00515775" w:rsidP="006520E3">
      <w:pPr>
        <w:spacing w:before="120" w:after="120" w:line="240" w:lineRule="exact"/>
        <w:jc w:val="both"/>
        <w:rPr>
          <w:rFonts w:ascii="Arial" w:eastAsia="Calibri" w:hAnsi="Arial" w:cs="Arial"/>
          <w:spacing w:val="-1"/>
          <w:sz w:val="17"/>
          <w:szCs w:val="17"/>
        </w:rPr>
      </w:pPr>
    </w:p>
    <w:p w:rsidR="00C83A18" w:rsidRDefault="00C83A18" w:rsidP="006520E3">
      <w:pPr>
        <w:spacing w:before="120" w:after="120" w:line="240" w:lineRule="exact"/>
        <w:jc w:val="both"/>
        <w:rPr>
          <w:rFonts w:ascii="Arial" w:eastAsia="Calibri" w:hAnsi="Arial" w:cs="Arial"/>
          <w:spacing w:val="-1"/>
          <w:sz w:val="17"/>
          <w:szCs w:val="17"/>
        </w:rPr>
      </w:pPr>
    </w:p>
    <w:p w:rsidR="00C83A18" w:rsidRDefault="00C83A18" w:rsidP="006520E3">
      <w:pPr>
        <w:spacing w:before="120" w:after="120" w:line="240" w:lineRule="exact"/>
        <w:jc w:val="both"/>
        <w:rPr>
          <w:rFonts w:ascii="Arial" w:eastAsia="Calibri" w:hAnsi="Arial" w:cs="Arial"/>
          <w:spacing w:val="-1"/>
          <w:sz w:val="17"/>
          <w:szCs w:val="17"/>
        </w:rPr>
      </w:pPr>
    </w:p>
    <w:p w:rsidR="00C83A18" w:rsidRDefault="00C83A18" w:rsidP="006520E3">
      <w:pPr>
        <w:spacing w:before="120" w:after="120" w:line="240" w:lineRule="exact"/>
        <w:jc w:val="both"/>
        <w:rPr>
          <w:rFonts w:ascii="Arial" w:eastAsia="Calibri" w:hAnsi="Arial" w:cs="Arial"/>
          <w:spacing w:val="-1"/>
          <w:sz w:val="17"/>
          <w:szCs w:val="17"/>
        </w:rPr>
      </w:pPr>
    </w:p>
    <w:p w:rsidR="00515775" w:rsidRDefault="00515775" w:rsidP="006520E3">
      <w:pPr>
        <w:spacing w:before="120" w:after="120" w:line="240" w:lineRule="exact"/>
        <w:jc w:val="both"/>
        <w:rPr>
          <w:rFonts w:ascii="Arial" w:eastAsia="Calibri" w:hAnsi="Arial" w:cs="Arial"/>
          <w:spacing w:val="-1"/>
          <w:sz w:val="17"/>
          <w:szCs w:val="17"/>
        </w:rPr>
      </w:pPr>
    </w:p>
    <w:p w:rsidR="006520E3" w:rsidRPr="00483725" w:rsidRDefault="006520E3" w:rsidP="006520E3">
      <w:pPr>
        <w:spacing w:before="120" w:after="120" w:line="240" w:lineRule="exact"/>
        <w:jc w:val="both"/>
        <w:rPr>
          <w:rFonts w:ascii="Arial" w:eastAsia="Calibri" w:hAnsi="Arial" w:cs="Arial"/>
          <w:b/>
          <w:spacing w:val="-1"/>
          <w:sz w:val="17"/>
          <w:szCs w:val="17"/>
        </w:rPr>
      </w:pPr>
    </w:p>
    <w:p w:rsidR="006520E3"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B660A3">
        <w:rPr>
          <w:rFonts w:ascii="Arial" w:eastAsia="Calibri" w:hAnsi="Arial" w:cs="Arial"/>
          <w:b/>
          <w:spacing w:val="-1"/>
          <w:sz w:val="17"/>
          <w:szCs w:val="17"/>
        </w:rPr>
        <w:lastRenderedPageBreak/>
        <w:t>Información sobre la Deuda y el Reporte Analítico de la Deuda</w:t>
      </w:r>
    </w:p>
    <w:tbl>
      <w:tblPr>
        <w:tblW w:w="10372" w:type="dxa"/>
        <w:jc w:val="center"/>
        <w:tblCellMar>
          <w:left w:w="70" w:type="dxa"/>
          <w:right w:w="70" w:type="dxa"/>
        </w:tblCellMar>
        <w:tblLook w:val="04A0" w:firstRow="1" w:lastRow="0" w:firstColumn="1" w:lastColumn="0" w:noHBand="0" w:noVBand="1"/>
      </w:tblPr>
      <w:tblGrid>
        <w:gridCol w:w="1293"/>
        <w:gridCol w:w="622"/>
        <w:gridCol w:w="518"/>
        <w:gridCol w:w="1255"/>
        <w:gridCol w:w="1123"/>
        <w:gridCol w:w="2135"/>
        <w:gridCol w:w="518"/>
        <w:gridCol w:w="473"/>
        <w:gridCol w:w="1010"/>
        <w:gridCol w:w="76"/>
        <w:gridCol w:w="1164"/>
        <w:gridCol w:w="76"/>
        <w:gridCol w:w="864"/>
        <w:gridCol w:w="76"/>
      </w:tblGrid>
      <w:tr w:rsidR="006520E3" w:rsidRPr="00DE44A7" w:rsidTr="00515775">
        <w:trPr>
          <w:gridAfter w:val="1"/>
          <w:wAfter w:w="76" w:type="dxa"/>
          <w:trHeight w:val="300"/>
          <w:jc w:val="center"/>
        </w:trPr>
        <w:tc>
          <w:tcPr>
            <w:tcW w:w="10296" w:type="dxa"/>
            <w:gridSpan w:val="13"/>
            <w:tcBorders>
              <w:top w:val="single" w:sz="4" w:space="0" w:color="auto"/>
              <w:left w:val="single" w:sz="4" w:space="0" w:color="auto"/>
              <w:bottom w:val="nil"/>
              <w:right w:val="single" w:sz="4" w:space="0" w:color="000000"/>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Gobierno del Estado de Querétaro</w:t>
            </w:r>
          </w:p>
        </w:tc>
      </w:tr>
      <w:tr w:rsidR="006520E3" w:rsidRPr="00DE44A7" w:rsidTr="00515775">
        <w:trPr>
          <w:gridAfter w:val="1"/>
          <w:wAfter w:w="76" w:type="dxa"/>
          <w:trHeight w:val="300"/>
          <w:jc w:val="center"/>
        </w:trPr>
        <w:tc>
          <w:tcPr>
            <w:tcW w:w="10296" w:type="dxa"/>
            <w:gridSpan w:val="13"/>
            <w:tcBorders>
              <w:top w:val="nil"/>
              <w:left w:val="single" w:sz="4" w:space="0" w:color="auto"/>
              <w:bottom w:val="nil"/>
              <w:right w:val="single" w:sz="4" w:space="0" w:color="000000"/>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Poder Ejecutivo</w:t>
            </w:r>
          </w:p>
        </w:tc>
      </w:tr>
      <w:tr w:rsidR="006520E3" w:rsidRPr="00DE44A7" w:rsidTr="00515775">
        <w:trPr>
          <w:gridAfter w:val="1"/>
          <w:wAfter w:w="76" w:type="dxa"/>
          <w:trHeight w:val="300"/>
          <w:jc w:val="center"/>
        </w:trPr>
        <w:tc>
          <w:tcPr>
            <w:tcW w:w="10296" w:type="dxa"/>
            <w:gridSpan w:val="13"/>
            <w:tcBorders>
              <w:top w:val="nil"/>
              <w:left w:val="single" w:sz="4" w:space="0" w:color="auto"/>
              <w:bottom w:val="nil"/>
              <w:right w:val="single" w:sz="4" w:space="0" w:color="000000"/>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Formato de información de obligaciones pagadas o garantizadas con fondos federales</w:t>
            </w:r>
          </w:p>
        </w:tc>
      </w:tr>
      <w:tr w:rsidR="006520E3" w:rsidRPr="00DE44A7" w:rsidTr="00515775">
        <w:trPr>
          <w:gridAfter w:val="1"/>
          <w:wAfter w:w="76" w:type="dxa"/>
          <w:trHeight w:val="300"/>
          <w:jc w:val="center"/>
        </w:trPr>
        <w:tc>
          <w:tcPr>
            <w:tcW w:w="10296" w:type="dxa"/>
            <w:gridSpan w:val="13"/>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Al período al 4to.  trimestre de 2019</w:t>
            </w:r>
          </w:p>
        </w:tc>
      </w:tr>
      <w:tr w:rsidR="006520E3" w:rsidRPr="00DE44A7" w:rsidTr="00515775">
        <w:trPr>
          <w:trHeight w:val="195"/>
          <w:jc w:val="center"/>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Tipo de Obligación</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Plazo</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Tasa</w:t>
            </w:r>
          </w:p>
        </w:tc>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Fin, Destino y Objeto</w:t>
            </w: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Acreedor, Proveedor o Contratista</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Importe Total</w:t>
            </w:r>
          </w:p>
        </w:tc>
        <w:tc>
          <w:tcPr>
            <w:tcW w:w="1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Fondo</w:t>
            </w:r>
          </w:p>
        </w:tc>
        <w:tc>
          <w:tcPr>
            <w:tcW w:w="10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Importe Garantizado </w:t>
            </w:r>
          </w:p>
        </w:tc>
        <w:tc>
          <w:tcPr>
            <w:tcW w:w="12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Importe Pagado</w:t>
            </w:r>
          </w:p>
        </w:tc>
        <w:tc>
          <w:tcPr>
            <w:tcW w:w="9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respecto al total </w:t>
            </w:r>
          </w:p>
        </w:tc>
      </w:tr>
      <w:tr w:rsidR="00515775" w:rsidRPr="00DE44A7" w:rsidTr="00515775">
        <w:trPr>
          <w:trHeight w:val="195"/>
          <w:jc w:val="center"/>
        </w:trPr>
        <w:tc>
          <w:tcPr>
            <w:tcW w:w="1293" w:type="dxa"/>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622" w:type="dxa"/>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518" w:type="dxa"/>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255" w:type="dxa"/>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123" w:type="dxa"/>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2135" w:type="dxa"/>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60" w:type="dxa"/>
            <w:gridSpan w:val="2"/>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240" w:type="dxa"/>
            <w:gridSpan w:val="2"/>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940" w:type="dxa"/>
            <w:gridSpan w:val="2"/>
            <w:vMerge/>
            <w:tcBorders>
              <w:top w:val="nil"/>
              <w:left w:val="single" w:sz="4" w:space="0" w:color="auto"/>
              <w:bottom w:val="single" w:sz="4" w:space="0" w:color="auto"/>
              <w:right w:val="single" w:sz="4" w:space="0" w:color="auto"/>
            </w:tcBorders>
            <w:vAlign w:val="center"/>
            <w:hideMark/>
          </w:tcPr>
          <w:p w:rsidR="006520E3" w:rsidRPr="00DE44A7" w:rsidRDefault="006520E3" w:rsidP="00137283">
            <w:pPr>
              <w:rPr>
                <w:rFonts w:ascii="Arial" w:hAnsi="Arial" w:cs="Arial"/>
                <w:color w:val="000000"/>
                <w:sz w:val="17"/>
                <w:szCs w:val="17"/>
              </w:rPr>
            </w:pPr>
          </w:p>
        </w:tc>
      </w:tr>
      <w:tr w:rsidR="006520E3" w:rsidRPr="00DE44A7" w:rsidTr="00515775">
        <w:trPr>
          <w:trHeight w:val="372"/>
          <w:jc w:val="center"/>
        </w:trPr>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SUSTITUCION DE CREDITO</w:t>
            </w:r>
          </w:p>
        </w:tc>
        <w:tc>
          <w:tcPr>
            <w:tcW w:w="622" w:type="dxa"/>
            <w:vMerge w:val="restart"/>
            <w:tcBorders>
              <w:top w:val="nil"/>
              <w:left w:val="single" w:sz="4" w:space="0" w:color="auto"/>
              <w:bottom w:val="single" w:sz="4" w:space="0" w:color="000000"/>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20 AÑOS</w:t>
            </w:r>
          </w:p>
        </w:tc>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TIIE +.45</w:t>
            </w:r>
          </w:p>
        </w:tc>
        <w:tc>
          <w:tcPr>
            <w:tcW w:w="1255" w:type="dxa"/>
            <w:vMerge w:val="restart"/>
            <w:tcBorders>
              <w:top w:val="nil"/>
              <w:left w:val="single" w:sz="4" w:space="0" w:color="auto"/>
              <w:bottom w:val="single" w:sz="4" w:space="0" w:color="000000"/>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OBRA PUBLICA PRODUCTIVA</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BBVA BANCOMER</w:t>
            </w:r>
          </w:p>
        </w:tc>
        <w:tc>
          <w:tcPr>
            <w:tcW w:w="2135" w:type="dxa"/>
            <w:vMerge w:val="restart"/>
            <w:tcBorders>
              <w:top w:val="nil"/>
              <w:left w:val="single" w:sz="4" w:space="0" w:color="auto"/>
              <w:bottom w:val="single" w:sz="4" w:space="0" w:color="000000"/>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1,350,000,000</w:t>
            </w:r>
          </w:p>
        </w:tc>
        <w:tc>
          <w:tcPr>
            <w:tcW w:w="16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RAMO 28</w:t>
            </w:r>
          </w:p>
        </w:tc>
        <w:tc>
          <w:tcPr>
            <w:tcW w:w="1086"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34,616,356 </w:t>
            </w:r>
          </w:p>
        </w:tc>
        <w:tc>
          <w:tcPr>
            <w:tcW w:w="124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34,616,356 </w:t>
            </w:r>
          </w:p>
        </w:tc>
        <w:tc>
          <w:tcPr>
            <w:tcW w:w="94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2.56%</w:t>
            </w:r>
          </w:p>
        </w:tc>
      </w:tr>
      <w:tr w:rsidR="00515775" w:rsidRPr="00DE44A7" w:rsidTr="00515775">
        <w:trPr>
          <w:trHeight w:val="372"/>
          <w:jc w:val="center"/>
        </w:trPr>
        <w:tc>
          <w:tcPr>
            <w:tcW w:w="1293"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622"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518"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255"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123"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2135"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6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RECURSO ESTATAL</w:t>
            </w:r>
          </w:p>
        </w:tc>
        <w:tc>
          <w:tcPr>
            <w:tcW w:w="1086"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130,000,000 </w:t>
            </w:r>
          </w:p>
        </w:tc>
        <w:tc>
          <w:tcPr>
            <w:tcW w:w="124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130,000,000 </w:t>
            </w:r>
          </w:p>
        </w:tc>
        <w:tc>
          <w:tcPr>
            <w:tcW w:w="94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9.63%</w:t>
            </w:r>
          </w:p>
        </w:tc>
      </w:tr>
      <w:tr w:rsidR="00515775" w:rsidRPr="00DE44A7" w:rsidTr="00515775">
        <w:trPr>
          <w:trHeight w:val="372"/>
          <w:jc w:val="center"/>
        </w:trPr>
        <w:tc>
          <w:tcPr>
            <w:tcW w:w="1293"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622"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518"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255"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123"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2135" w:type="dxa"/>
            <w:vMerge/>
            <w:tcBorders>
              <w:top w:val="nil"/>
              <w:left w:val="single" w:sz="4" w:space="0" w:color="auto"/>
              <w:bottom w:val="single" w:sz="4" w:space="0" w:color="000000"/>
              <w:right w:val="single" w:sz="4" w:space="0" w:color="auto"/>
            </w:tcBorders>
            <w:vAlign w:val="center"/>
            <w:hideMark/>
          </w:tcPr>
          <w:p w:rsidR="006520E3" w:rsidRPr="00DE44A7" w:rsidRDefault="006520E3" w:rsidP="00137283">
            <w:pPr>
              <w:rPr>
                <w:rFonts w:ascii="Arial" w:hAnsi="Arial" w:cs="Arial"/>
                <w:color w:val="000000"/>
                <w:sz w:val="17"/>
                <w:szCs w:val="17"/>
              </w:rPr>
            </w:pPr>
          </w:p>
        </w:tc>
        <w:tc>
          <w:tcPr>
            <w:tcW w:w="16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RAMO 33</w:t>
            </w:r>
          </w:p>
        </w:tc>
        <w:tc>
          <w:tcPr>
            <w:tcW w:w="1086"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102,713,078 </w:t>
            </w:r>
          </w:p>
        </w:tc>
        <w:tc>
          <w:tcPr>
            <w:tcW w:w="124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xml:space="preserve">     102,713,078 </w:t>
            </w:r>
          </w:p>
        </w:tc>
        <w:tc>
          <w:tcPr>
            <w:tcW w:w="940" w:type="dxa"/>
            <w:gridSpan w:val="2"/>
            <w:tcBorders>
              <w:top w:val="nil"/>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7.61%</w:t>
            </w:r>
          </w:p>
        </w:tc>
      </w:tr>
      <w:tr w:rsidR="006520E3" w:rsidRPr="00DE44A7" w:rsidTr="00515775">
        <w:trPr>
          <w:trHeight w:val="82"/>
          <w:jc w:val="center"/>
        </w:trPr>
        <w:tc>
          <w:tcPr>
            <w:tcW w:w="1293" w:type="dxa"/>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color w:val="000000"/>
                <w:sz w:val="17"/>
                <w:szCs w:val="17"/>
              </w:rPr>
            </w:pPr>
          </w:p>
        </w:tc>
        <w:tc>
          <w:tcPr>
            <w:tcW w:w="622" w:type="dxa"/>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518" w:type="dxa"/>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1255" w:type="dxa"/>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1123" w:type="dxa"/>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2135" w:type="dxa"/>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160" w:type="dxa"/>
            <w:gridSpan w:val="2"/>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1086" w:type="dxa"/>
            <w:gridSpan w:val="2"/>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1240" w:type="dxa"/>
            <w:gridSpan w:val="2"/>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c>
          <w:tcPr>
            <w:tcW w:w="940" w:type="dxa"/>
            <w:gridSpan w:val="2"/>
            <w:tcBorders>
              <w:top w:val="nil"/>
              <w:left w:val="nil"/>
              <w:bottom w:val="nil"/>
              <w:right w:val="nil"/>
            </w:tcBorders>
            <w:shd w:val="clear" w:color="auto" w:fill="auto"/>
            <w:vAlign w:val="center"/>
            <w:hideMark/>
          </w:tcPr>
          <w:p w:rsidR="006520E3" w:rsidRPr="00DE44A7" w:rsidRDefault="006520E3" w:rsidP="00137283">
            <w:pPr>
              <w:jc w:val="center"/>
              <w:rPr>
                <w:rFonts w:ascii="Arial" w:hAnsi="Arial" w:cs="Arial"/>
                <w:sz w:val="17"/>
                <w:szCs w:val="17"/>
              </w:rPr>
            </w:pPr>
          </w:p>
        </w:tc>
      </w:tr>
      <w:tr w:rsidR="006520E3" w:rsidRPr="00DE44A7" w:rsidTr="00515775">
        <w:trPr>
          <w:gridAfter w:val="1"/>
          <w:wAfter w:w="76" w:type="dxa"/>
          <w:trHeight w:val="359"/>
          <w:jc w:val="center"/>
        </w:trPr>
        <w:tc>
          <w:tcPr>
            <w:tcW w:w="1293" w:type="dxa"/>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sz w:val="17"/>
                <w:szCs w:val="17"/>
              </w:rPr>
            </w:pPr>
          </w:p>
        </w:tc>
        <w:tc>
          <w:tcPr>
            <w:tcW w:w="9003" w:type="dxa"/>
            <w:gridSpan w:val="1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color w:val="000000"/>
                <w:sz w:val="17"/>
                <w:szCs w:val="17"/>
              </w:rPr>
            </w:pPr>
            <w:r w:rsidRPr="00DE44A7">
              <w:rPr>
                <w:rFonts w:ascii="Arial" w:hAnsi="Arial" w:cs="Arial"/>
                <w:color w:val="000000"/>
                <w:sz w:val="17"/>
                <w:szCs w:val="17"/>
              </w:rPr>
              <w:t xml:space="preserve">1.      La reducción del saldo de su deuda pública bruta total con motivo de cada una de las amortizaciones a que se refiere este artículo, con relación al registrado al 31 de </w:t>
            </w:r>
            <w:r w:rsidR="0050443D">
              <w:rPr>
                <w:rFonts w:ascii="Arial" w:hAnsi="Arial" w:cs="Arial"/>
                <w:color w:val="000000"/>
                <w:sz w:val="17"/>
                <w:szCs w:val="17"/>
              </w:rPr>
              <w:t>Diciembre</w:t>
            </w:r>
            <w:r w:rsidRPr="00DE44A7">
              <w:rPr>
                <w:rFonts w:ascii="Arial" w:hAnsi="Arial" w:cs="Arial"/>
                <w:color w:val="000000"/>
                <w:sz w:val="17"/>
                <w:szCs w:val="17"/>
              </w:rPr>
              <w:t xml:space="preserve"> del ejercicio fiscal anterior.</w:t>
            </w:r>
          </w:p>
        </w:tc>
      </w:tr>
      <w:tr w:rsidR="006520E3" w:rsidRPr="00DE44A7" w:rsidTr="00515775">
        <w:trPr>
          <w:trHeight w:val="300"/>
          <w:jc w:val="center"/>
        </w:trPr>
        <w:tc>
          <w:tcPr>
            <w:tcW w:w="1293"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color w:val="000000"/>
                <w:sz w:val="17"/>
                <w:szCs w:val="17"/>
              </w:rPr>
            </w:pPr>
          </w:p>
        </w:tc>
        <w:tc>
          <w:tcPr>
            <w:tcW w:w="622" w:type="dxa"/>
            <w:tcBorders>
              <w:top w:val="nil"/>
              <w:left w:val="nil"/>
              <w:bottom w:val="nil"/>
              <w:right w:val="nil"/>
            </w:tcBorders>
            <w:shd w:val="clear" w:color="auto" w:fill="auto"/>
            <w:vAlign w:val="center"/>
            <w:hideMark/>
          </w:tcPr>
          <w:p w:rsidR="006520E3" w:rsidRPr="00DE44A7" w:rsidRDefault="006520E3" w:rsidP="00137283">
            <w:pPr>
              <w:rPr>
                <w:rFonts w:ascii="Arial" w:hAnsi="Arial" w:cs="Arial"/>
                <w:sz w:val="17"/>
                <w:szCs w:val="17"/>
              </w:rPr>
            </w:pPr>
          </w:p>
        </w:tc>
        <w:tc>
          <w:tcPr>
            <w:tcW w:w="518" w:type="dxa"/>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1255" w:type="dxa"/>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1123" w:type="dxa"/>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2135" w:type="dxa"/>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160" w:type="dxa"/>
            <w:gridSpan w:val="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1086" w:type="dxa"/>
            <w:gridSpan w:val="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1240" w:type="dxa"/>
            <w:gridSpan w:val="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c>
          <w:tcPr>
            <w:tcW w:w="940" w:type="dxa"/>
            <w:gridSpan w:val="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jc w:val="both"/>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Importe</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xml:space="preserve">Deuda Pública Bruta Total al 31 de </w:t>
            </w:r>
            <w:r w:rsidR="0050443D">
              <w:rPr>
                <w:rFonts w:ascii="Arial" w:hAnsi="Arial" w:cs="Arial"/>
                <w:color w:val="000000"/>
                <w:sz w:val="17"/>
                <w:szCs w:val="17"/>
              </w:rPr>
              <w:t>Diciembre</w:t>
            </w:r>
            <w:r w:rsidRPr="00DE44A7">
              <w:rPr>
                <w:rFonts w:ascii="Arial" w:hAnsi="Arial" w:cs="Arial"/>
                <w:color w:val="000000"/>
                <w:sz w:val="17"/>
                <w:szCs w:val="17"/>
              </w:rPr>
              <w:t xml:space="preserve"> del 2018</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513,303,321</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1</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5,191,764</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1</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508,111,558</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5,264,448</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502,847,109</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3</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5,338,151</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3</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497,508,959</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4</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5,412,885</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4</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492,096,074</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5</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5,488,665</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5</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486,607,409</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6</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5,565,506</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515775"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1773" w:type="dxa"/>
            <w:gridSpan w:val="2"/>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(-)Prepago a capital</w:t>
            </w:r>
          </w:p>
        </w:tc>
        <w:tc>
          <w:tcPr>
            <w:tcW w:w="1123" w:type="dxa"/>
            <w:tcBorders>
              <w:top w:val="nil"/>
              <w:left w:val="nil"/>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w:t>
            </w:r>
          </w:p>
        </w:tc>
        <w:tc>
          <w:tcPr>
            <w:tcW w:w="2135" w:type="dxa"/>
            <w:tcBorders>
              <w:top w:val="nil"/>
              <w:left w:val="nil"/>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70,000,000</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6</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411,041,903</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7</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5,643,423</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7</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405,398,479</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8</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5,722,431</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8</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399,676,048</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9</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5,802,545</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9</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393,873,502</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10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5,883,781</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515775"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1773" w:type="dxa"/>
            <w:gridSpan w:val="2"/>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(-)Prepago a capital</w:t>
            </w:r>
          </w:p>
        </w:tc>
        <w:tc>
          <w:tcPr>
            <w:tcW w:w="1123" w:type="dxa"/>
            <w:tcBorders>
              <w:top w:val="nil"/>
              <w:left w:val="nil"/>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w:t>
            </w:r>
          </w:p>
        </w:tc>
        <w:tc>
          <w:tcPr>
            <w:tcW w:w="2135" w:type="dxa"/>
            <w:tcBorders>
              <w:top w:val="nil"/>
              <w:left w:val="nil"/>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130,000,000</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10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257,989,721</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11</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5,966,154</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11</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252,023,567</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(-)Amortización 12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6,049,680</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031" w:type="dxa"/>
            <w:gridSpan w:val="4"/>
            <w:tcBorders>
              <w:top w:val="single" w:sz="4" w:space="0" w:color="auto"/>
              <w:left w:val="single" w:sz="4" w:space="0" w:color="auto"/>
              <w:bottom w:val="single" w:sz="4" w:space="0" w:color="auto"/>
              <w:right w:val="nil"/>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Deuda Pública Bruta Total descontando la amortización 12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245,973,887</w:t>
            </w: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515775" w:rsidRPr="00DE44A7" w:rsidTr="00515775">
        <w:trPr>
          <w:trHeight w:val="3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18"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5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123"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213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6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086"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563"/>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9003" w:type="dxa"/>
            <w:gridSpan w:val="1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color w:val="000000"/>
                <w:sz w:val="17"/>
                <w:szCs w:val="17"/>
              </w:rPr>
            </w:pPr>
            <w:r w:rsidRPr="00DE44A7">
              <w:rPr>
                <w:rFonts w:ascii="Arial" w:hAnsi="Arial" w:cs="Arial"/>
                <w:color w:val="000000"/>
                <w:sz w:val="17"/>
                <w:szCs w:val="17"/>
              </w:rPr>
              <w:t xml:space="preserve">2.      Un comparativo de la relación deuda pública bruta total a producto interno bruto del estado entre el 31 de </w:t>
            </w:r>
            <w:r w:rsidR="0050443D">
              <w:rPr>
                <w:rFonts w:ascii="Arial" w:hAnsi="Arial" w:cs="Arial"/>
                <w:color w:val="000000"/>
                <w:sz w:val="17"/>
                <w:szCs w:val="17"/>
              </w:rPr>
              <w:t>Diciembre</w:t>
            </w:r>
            <w:r w:rsidRPr="00DE44A7">
              <w:rPr>
                <w:rFonts w:ascii="Arial" w:hAnsi="Arial" w:cs="Arial"/>
                <w:color w:val="000000"/>
                <w:sz w:val="17"/>
                <w:szCs w:val="17"/>
              </w:rPr>
              <w:t xml:space="preserve"> del ejercicio fiscal anterior y la fecha de la amortización.</w:t>
            </w:r>
          </w:p>
        </w:tc>
      </w:tr>
      <w:tr w:rsidR="00515775" w:rsidRPr="00DE44A7" w:rsidTr="00515775">
        <w:trPr>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jc w:val="both"/>
              <w:rPr>
                <w:rFonts w:ascii="Arial" w:hAnsi="Arial" w:cs="Arial"/>
                <w:color w:val="000000"/>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18"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5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123"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213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6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086"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515775" w:rsidRPr="00DE44A7" w:rsidTr="00515775">
        <w:trPr>
          <w:gridAfter w:val="1"/>
          <w:wAfter w:w="76" w:type="dxa"/>
          <w:trHeight w:val="552"/>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Al 31 de dic del año 2018</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Trimestre que se informa al 4to de 2019</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jc w:val="right"/>
              <w:rPr>
                <w:rFonts w:ascii="Arial" w:hAnsi="Arial" w:cs="Arial"/>
                <w:color w:val="000000"/>
                <w:sz w:val="17"/>
                <w:szCs w:val="17"/>
              </w:rPr>
            </w:pPr>
            <w:r w:rsidRPr="00DE44A7">
              <w:rPr>
                <w:rFonts w:ascii="Arial" w:hAnsi="Arial" w:cs="Arial"/>
                <w:color w:val="000000"/>
                <w:sz w:val="17"/>
                <w:szCs w:val="17"/>
              </w:rPr>
              <w:t>Producto interno bruto estatal</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438,432,550,000</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438,432,550,000</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(estimado)</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(estimado)</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 xml:space="preserve">Saldo de la deuda pública </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513,303,321</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245,973,887</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Porcentaje</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0.1171%</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0.0561%</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18"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5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123"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213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6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086"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6520E3" w:rsidRPr="00DE44A7" w:rsidTr="00515775">
        <w:trPr>
          <w:gridAfter w:val="1"/>
          <w:wAfter w:w="76" w:type="dxa"/>
          <w:trHeight w:val="863"/>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9003" w:type="dxa"/>
            <w:gridSpan w:val="12"/>
            <w:tcBorders>
              <w:top w:val="nil"/>
              <w:left w:val="nil"/>
              <w:bottom w:val="nil"/>
              <w:right w:val="nil"/>
            </w:tcBorders>
            <w:shd w:val="clear" w:color="auto" w:fill="auto"/>
            <w:vAlign w:val="center"/>
            <w:hideMark/>
          </w:tcPr>
          <w:p w:rsidR="006520E3" w:rsidRPr="00DE44A7" w:rsidRDefault="006520E3" w:rsidP="00137283">
            <w:pPr>
              <w:jc w:val="both"/>
              <w:rPr>
                <w:rFonts w:ascii="Arial" w:hAnsi="Arial" w:cs="Arial"/>
                <w:color w:val="000000"/>
                <w:sz w:val="17"/>
                <w:szCs w:val="17"/>
              </w:rPr>
            </w:pPr>
            <w:r w:rsidRPr="00DE44A7">
              <w:rPr>
                <w:rFonts w:ascii="Arial" w:hAnsi="Arial" w:cs="Arial"/>
                <w:color w:val="000000"/>
                <w:sz w:val="17"/>
                <w:szCs w:val="17"/>
              </w:rPr>
              <w:t xml:space="preserve">3.      Un comparativo de la relación deuda pública bruta total a ingresos propios del estado o municipio, según corresponda, entre el 31 de </w:t>
            </w:r>
            <w:r w:rsidR="0050443D">
              <w:rPr>
                <w:rFonts w:ascii="Arial" w:hAnsi="Arial" w:cs="Arial"/>
                <w:color w:val="000000"/>
                <w:sz w:val="17"/>
                <w:szCs w:val="17"/>
              </w:rPr>
              <w:t>Diciembre</w:t>
            </w:r>
            <w:r w:rsidRPr="00DE44A7">
              <w:rPr>
                <w:rFonts w:ascii="Arial" w:hAnsi="Arial" w:cs="Arial"/>
                <w:color w:val="000000"/>
                <w:sz w:val="17"/>
                <w:szCs w:val="17"/>
              </w:rPr>
              <w:t xml:space="preserve"> del ejercicio fiscal anterior y la fecha de la amortización.</w:t>
            </w:r>
          </w:p>
        </w:tc>
      </w:tr>
      <w:tr w:rsidR="00515775" w:rsidRPr="00DE44A7" w:rsidTr="00515775">
        <w:trPr>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jc w:val="both"/>
              <w:rPr>
                <w:rFonts w:ascii="Arial" w:hAnsi="Arial" w:cs="Arial"/>
                <w:color w:val="000000"/>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518"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5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123"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2135"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6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086"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12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r>
      <w:tr w:rsidR="00515775" w:rsidRPr="00DE44A7" w:rsidTr="00515775">
        <w:trPr>
          <w:gridAfter w:val="1"/>
          <w:wAfter w:w="76" w:type="dxa"/>
          <w:trHeight w:val="600"/>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 </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Al 31 de dic del año 2018</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Trimestre que se informa al 4to de 2019</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jc w:val="right"/>
              <w:rPr>
                <w:rFonts w:ascii="Arial" w:hAnsi="Arial" w:cs="Arial"/>
                <w:color w:val="000000"/>
                <w:sz w:val="17"/>
                <w:szCs w:val="17"/>
              </w:rPr>
            </w:pPr>
            <w:r w:rsidRPr="00DE44A7">
              <w:rPr>
                <w:rFonts w:ascii="Arial" w:hAnsi="Arial" w:cs="Arial"/>
                <w:color w:val="000000"/>
                <w:sz w:val="17"/>
                <w:szCs w:val="17"/>
              </w:rPr>
              <w:t>Ingresos Propios</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4,873,706,300</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5,171,457,555</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center"/>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jc w:val="both"/>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Saldo de la Deuda Pública</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513,303,321</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245,973,887</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r w:rsidR="00515775" w:rsidRPr="00DE44A7" w:rsidTr="00515775">
        <w:trPr>
          <w:gridAfter w:val="1"/>
          <w:wAfter w:w="76" w:type="dxa"/>
          <w:trHeight w:val="289"/>
          <w:jc w:val="center"/>
        </w:trPr>
        <w:tc>
          <w:tcPr>
            <w:tcW w:w="1293"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622" w:type="dxa"/>
            <w:tcBorders>
              <w:top w:val="nil"/>
              <w:left w:val="nil"/>
              <w:bottom w:val="nil"/>
              <w:right w:val="nil"/>
            </w:tcBorders>
            <w:shd w:val="clear" w:color="auto" w:fill="auto"/>
            <w:noWrap/>
            <w:vAlign w:val="bottom"/>
            <w:hideMark/>
          </w:tcPr>
          <w:p w:rsidR="006520E3" w:rsidRPr="00DE44A7" w:rsidRDefault="006520E3" w:rsidP="00137283">
            <w:pPr>
              <w:rPr>
                <w:rFonts w:ascii="Arial" w:hAnsi="Arial" w:cs="Arial"/>
                <w:sz w:val="17"/>
                <w:szCs w:val="17"/>
              </w:rPr>
            </w:pP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20E3" w:rsidRPr="00DE44A7" w:rsidRDefault="006520E3" w:rsidP="00137283">
            <w:pPr>
              <w:rPr>
                <w:rFonts w:ascii="Arial" w:hAnsi="Arial" w:cs="Arial"/>
                <w:color w:val="000000"/>
                <w:sz w:val="17"/>
                <w:szCs w:val="17"/>
              </w:rPr>
            </w:pPr>
            <w:r w:rsidRPr="00DE44A7">
              <w:rPr>
                <w:rFonts w:ascii="Arial" w:hAnsi="Arial" w:cs="Arial"/>
                <w:color w:val="000000"/>
                <w:sz w:val="17"/>
                <w:szCs w:val="17"/>
              </w:rPr>
              <w:t>Porcentaje</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10.53%</w:t>
            </w:r>
          </w:p>
        </w:tc>
        <w:tc>
          <w:tcPr>
            <w:tcW w:w="2326" w:type="dxa"/>
            <w:gridSpan w:val="4"/>
            <w:tcBorders>
              <w:top w:val="single" w:sz="4" w:space="0" w:color="auto"/>
              <w:left w:val="nil"/>
              <w:bottom w:val="single" w:sz="4" w:space="0" w:color="auto"/>
              <w:right w:val="single" w:sz="4" w:space="0" w:color="auto"/>
            </w:tcBorders>
            <w:shd w:val="clear" w:color="auto" w:fill="auto"/>
            <w:vAlign w:val="center"/>
            <w:hideMark/>
          </w:tcPr>
          <w:p w:rsidR="006520E3" w:rsidRPr="00DE44A7" w:rsidRDefault="006520E3" w:rsidP="00137283">
            <w:pPr>
              <w:jc w:val="center"/>
              <w:rPr>
                <w:rFonts w:ascii="Arial" w:hAnsi="Arial" w:cs="Arial"/>
                <w:color w:val="000000"/>
                <w:sz w:val="17"/>
                <w:szCs w:val="17"/>
              </w:rPr>
            </w:pPr>
            <w:r w:rsidRPr="00DE44A7">
              <w:rPr>
                <w:rFonts w:ascii="Arial" w:hAnsi="Arial" w:cs="Arial"/>
                <w:color w:val="000000"/>
                <w:sz w:val="17"/>
                <w:szCs w:val="17"/>
              </w:rPr>
              <w:t>4.76%</w:t>
            </w:r>
          </w:p>
        </w:tc>
        <w:tc>
          <w:tcPr>
            <w:tcW w:w="940" w:type="dxa"/>
            <w:gridSpan w:val="2"/>
            <w:tcBorders>
              <w:top w:val="nil"/>
              <w:left w:val="nil"/>
              <w:bottom w:val="nil"/>
              <w:right w:val="nil"/>
            </w:tcBorders>
            <w:shd w:val="clear" w:color="auto" w:fill="auto"/>
            <w:noWrap/>
            <w:vAlign w:val="bottom"/>
            <w:hideMark/>
          </w:tcPr>
          <w:p w:rsidR="006520E3" w:rsidRPr="00DE44A7" w:rsidRDefault="006520E3" w:rsidP="00137283">
            <w:pPr>
              <w:jc w:val="center"/>
              <w:rPr>
                <w:rFonts w:ascii="Arial" w:hAnsi="Arial" w:cs="Arial"/>
                <w:color w:val="000000"/>
                <w:sz w:val="17"/>
                <w:szCs w:val="17"/>
              </w:rPr>
            </w:pPr>
          </w:p>
        </w:tc>
      </w:tr>
    </w:tbl>
    <w:p w:rsidR="006520E3" w:rsidRPr="00DE44A7" w:rsidRDefault="006520E3" w:rsidP="006520E3">
      <w:pPr>
        <w:spacing w:before="120" w:after="120" w:line="240" w:lineRule="exact"/>
        <w:ind w:left="360"/>
        <w:jc w:val="both"/>
        <w:rPr>
          <w:rFonts w:ascii="Arial" w:eastAsia="Calibri" w:hAnsi="Arial" w:cs="Arial"/>
          <w:b/>
          <w:spacing w:val="-1"/>
          <w:sz w:val="17"/>
          <w:szCs w:val="17"/>
        </w:rPr>
      </w:pPr>
    </w:p>
    <w:p w:rsidR="006520E3" w:rsidRPr="00EA1227" w:rsidRDefault="006520E3" w:rsidP="006520E3">
      <w:pPr>
        <w:spacing w:before="120" w:after="120" w:line="240" w:lineRule="exact"/>
        <w:jc w:val="both"/>
        <w:rPr>
          <w:rFonts w:ascii="Arial" w:eastAsia="Calibri" w:hAnsi="Arial" w:cs="Arial"/>
          <w:b/>
          <w:spacing w:val="-1"/>
          <w:sz w:val="17"/>
          <w:szCs w:val="17"/>
        </w:rPr>
      </w:pPr>
    </w:p>
    <w:p w:rsidR="006520E3" w:rsidRPr="003069CA"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3069CA">
        <w:rPr>
          <w:rFonts w:ascii="Arial" w:eastAsia="Calibri" w:hAnsi="Arial" w:cs="Arial"/>
          <w:b/>
          <w:spacing w:val="-1"/>
          <w:sz w:val="17"/>
          <w:szCs w:val="17"/>
        </w:rPr>
        <w:lastRenderedPageBreak/>
        <w:t>Calificaciones otorgadas</w:t>
      </w:r>
    </w:p>
    <w:p w:rsidR="006520E3" w:rsidRPr="00417116" w:rsidRDefault="006520E3" w:rsidP="006520E3">
      <w:pPr>
        <w:pStyle w:val="Prrafodelista"/>
        <w:spacing w:before="120" w:after="120" w:line="240" w:lineRule="exact"/>
        <w:jc w:val="both"/>
        <w:rPr>
          <w:rFonts w:ascii="Arial" w:eastAsia="Calibri" w:hAnsi="Arial" w:cs="Arial"/>
          <w:b/>
          <w:spacing w:val="-1"/>
          <w:sz w:val="17"/>
          <w:szCs w:val="17"/>
        </w:rPr>
      </w:pPr>
    </w:p>
    <w:p w:rsidR="006520E3" w:rsidRDefault="006520E3" w:rsidP="006520E3">
      <w:pPr>
        <w:pStyle w:val="Prrafodelista"/>
        <w:numPr>
          <w:ilvl w:val="0"/>
          <w:numId w:val="15"/>
        </w:numPr>
        <w:spacing w:before="120" w:after="120" w:line="240" w:lineRule="exact"/>
        <w:jc w:val="both"/>
        <w:rPr>
          <w:rFonts w:ascii="Arial" w:eastAsia="Calibri" w:hAnsi="Arial" w:cs="Arial"/>
          <w:b/>
          <w:spacing w:val="-1"/>
          <w:sz w:val="17"/>
          <w:szCs w:val="17"/>
          <w:u w:val="single"/>
        </w:rPr>
      </w:pPr>
      <w:r w:rsidRPr="0093230B">
        <w:rPr>
          <w:rFonts w:ascii="Arial" w:eastAsia="Calibri" w:hAnsi="Arial" w:cs="Arial"/>
          <w:b/>
          <w:spacing w:val="-1"/>
          <w:sz w:val="17"/>
          <w:szCs w:val="17"/>
          <w:u w:val="single"/>
        </w:rPr>
        <w:t xml:space="preserve">Opinión Crediticia emitida por </w:t>
      </w:r>
      <w:proofErr w:type="spellStart"/>
      <w:r w:rsidRPr="0093230B">
        <w:rPr>
          <w:rFonts w:ascii="Arial" w:eastAsia="Calibri" w:hAnsi="Arial" w:cs="Arial"/>
          <w:b/>
          <w:spacing w:val="-1"/>
          <w:sz w:val="17"/>
          <w:szCs w:val="17"/>
          <w:u w:val="single"/>
        </w:rPr>
        <w:t>Moody’s</w:t>
      </w:r>
      <w:proofErr w:type="spellEnd"/>
      <w:r w:rsidRPr="0093230B">
        <w:rPr>
          <w:rFonts w:ascii="Arial" w:eastAsia="Calibri" w:hAnsi="Arial" w:cs="Arial"/>
          <w:b/>
          <w:spacing w:val="-1"/>
          <w:sz w:val="17"/>
          <w:szCs w:val="17"/>
          <w:u w:val="single"/>
        </w:rPr>
        <w:t xml:space="preserve"> </w:t>
      </w:r>
      <w:proofErr w:type="spellStart"/>
      <w:r w:rsidRPr="0093230B">
        <w:rPr>
          <w:rFonts w:ascii="Arial" w:eastAsia="Calibri" w:hAnsi="Arial" w:cs="Arial"/>
          <w:b/>
          <w:spacing w:val="-1"/>
          <w:sz w:val="17"/>
          <w:szCs w:val="17"/>
          <w:u w:val="single"/>
        </w:rPr>
        <w:t>Investors</w:t>
      </w:r>
      <w:proofErr w:type="spellEnd"/>
      <w:r w:rsidRPr="0093230B">
        <w:rPr>
          <w:rFonts w:ascii="Arial" w:eastAsia="Calibri" w:hAnsi="Arial" w:cs="Arial"/>
          <w:b/>
          <w:spacing w:val="-1"/>
          <w:sz w:val="17"/>
          <w:szCs w:val="17"/>
          <w:u w:val="single"/>
        </w:rPr>
        <w:t xml:space="preserve"> </w:t>
      </w:r>
      <w:proofErr w:type="spellStart"/>
      <w:r w:rsidRPr="0093230B">
        <w:rPr>
          <w:rFonts w:ascii="Arial" w:eastAsia="Calibri" w:hAnsi="Arial" w:cs="Arial"/>
          <w:b/>
          <w:spacing w:val="-1"/>
          <w:sz w:val="17"/>
          <w:szCs w:val="17"/>
          <w:u w:val="single"/>
        </w:rPr>
        <w:t>Service</w:t>
      </w:r>
      <w:proofErr w:type="spellEnd"/>
      <w:r w:rsidRPr="0093230B">
        <w:rPr>
          <w:rFonts w:ascii="Arial" w:eastAsia="Calibri" w:hAnsi="Arial" w:cs="Arial"/>
          <w:b/>
          <w:spacing w:val="-1"/>
          <w:sz w:val="17"/>
          <w:szCs w:val="17"/>
          <w:u w:val="single"/>
        </w:rPr>
        <w:t>:</w:t>
      </w:r>
    </w:p>
    <w:p w:rsidR="006520E3" w:rsidRPr="0002742E" w:rsidRDefault="006520E3" w:rsidP="006520E3">
      <w:pPr>
        <w:pStyle w:val="Prrafodelista"/>
        <w:spacing w:before="120" w:after="120" w:line="240" w:lineRule="exact"/>
        <w:jc w:val="both"/>
        <w:rPr>
          <w:rFonts w:ascii="Arial" w:eastAsia="Calibri" w:hAnsi="Arial" w:cs="Arial"/>
          <w:b/>
          <w:spacing w:val="-1"/>
          <w:sz w:val="17"/>
          <w:szCs w:val="17"/>
          <w:u w:val="single"/>
        </w:rPr>
      </w:pPr>
    </w:p>
    <w:p w:rsidR="006520E3" w:rsidRPr="00D61D96" w:rsidRDefault="006520E3" w:rsidP="006520E3">
      <w:pPr>
        <w:spacing w:before="120" w:after="120" w:line="240" w:lineRule="exact"/>
        <w:jc w:val="both"/>
        <w:rPr>
          <w:rFonts w:ascii="Arial" w:eastAsia="Calibri" w:hAnsi="Arial" w:cs="Arial"/>
          <w:b/>
          <w:spacing w:val="-1"/>
          <w:sz w:val="17"/>
          <w:szCs w:val="17"/>
        </w:rPr>
      </w:pPr>
      <w:r w:rsidRPr="00D61D96">
        <w:rPr>
          <w:rFonts w:ascii="Arial" w:eastAsia="Calibri" w:hAnsi="Arial" w:cs="Arial"/>
          <w:b/>
          <w:spacing w:val="-1"/>
          <w:sz w:val="17"/>
          <w:szCs w:val="17"/>
        </w:rPr>
        <w:t xml:space="preserve">Resumen </w:t>
      </w:r>
    </w:p>
    <w:p w:rsidR="006520E3" w:rsidRPr="00D61D96" w:rsidRDefault="006520E3" w:rsidP="006520E3">
      <w:p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El perfil crediticio del Estado de Querétaro (Baa1/Aa1.mx estable) refleja resultados financieros en promedio balanceados, muy bajos niveles de endeudamiento y una muy fuerte liquidez. El estado ha llevado a cabo pagos anticipados de su deuda y planea continuar con esto en 2019, por lo que estimamos que la deuda directa e indirecta neta se ubique en 3.4% de los ingresos totales y que continúe bajando. Querétaro ha mantenido el gasto controlado, pero se espera que el gasto de capital aumente en 2019-2020 y que pueda registrar déficits financieros moderados, los cuales serán cubiertos con recursos disponibles de años anteriores. Por consiguiente, estimamos que la liquidez disminuya, pero se mantenga en niveles muy altos con una razón de efectivo y equivalentes a pasivo circulante de más de 15 veces en promedio en 2019 y 2020. El principal reto crediticio del estado es su pasivo por pensiones no fondeado.</w:t>
      </w:r>
    </w:p>
    <w:p w:rsidR="006520E3" w:rsidRPr="00D61D96" w:rsidRDefault="006520E3" w:rsidP="006520E3">
      <w:pPr>
        <w:spacing w:before="120" w:after="120" w:line="240" w:lineRule="exact"/>
        <w:jc w:val="both"/>
        <w:rPr>
          <w:rFonts w:ascii="Arial" w:eastAsia="Calibri" w:hAnsi="Arial" w:cs="Arial"/>
          <w:b/>
          <w:spacing w:val="-1"/>
          <w:sz w:val="17"/>
          <w:szCs w:val="17"/>
        </w:rPr>
      </w:pPr>
      <w:r w:rsidRPr="00D61D96">
        <w:rPr>
          <w:rFonts w:ascii="Arial" w:eastAsia="Calibri" w:hAnsi="Arial" w:cs="Arial"/>
          <w:b/>
          <w:spacing w:val="-1"/>
          <w:sz w:val="17"/>
          <w:szCs w:val="17"/>
        </w:rPr>
        <w:t>Fortalezas Crediticias</w:t>
      </w:r>
    </w:p>
    <w:p w:rsidR="006520E3" w:rsidRPr="00D61D96" w:rsidRDefault="006520E3" w:rsidP="006520E3">
      <w:pPr>
        <w:pStyle w:val="Prrafodelista"/>
        <w:numPr>
          <w:ilvl w:val="0"/>
          <w:numId w:val="30"/>
        </w:num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Economía dinámica que respalda una productiva base de ingresos propios</w:t>
      </w:r>
    </w:p>
    <w:p w:rsidR="006520E3" w:rsidRPr="00D61D96" w:rsidRDefault="006520E3" w:rsidP="006520E3">
      <w:pPr>
        <w:pStyle w:val="Prrafodelista"/>
        <w:numPr>
          <w:ilvl w:val="0"/>
          <w:numId w:val="30"/>
        </w:num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Fuertes prácticas de gobierno y sólido desempeño financiero</w:t>
      </w:r>
    </w:p>
    <w:p w:rsidR="006520E3" w:rsidRPr="00D61D96" w:rsidRDefault="006520E3" w:rsidP="006520E3">
      <w:pPr>
        <w:pStyle w:val="Prrafodelista"/>
        <w:numPr>
          <w:ilvl w:val="0"/>
          <w:numId w:val="30"/>
        </w:num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Bajos niveles de deuda y de servicio de la deuda</w:t>
      </w:r>
    </w:p>
    <w:p w:rsidR="006520E3" w:rsidRPr="00D61D96" w:rsidRDefault="006520E3" w:rsidP="006520E3">
      <w:pPr>
        <w:pStyle w:val="Prrafodelista"/>
        <w:numPr>
          <w:ilvl w:val="0"/>
          <w:numId w:val="30"/>
        </w:num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Muy fuerte posición de liquidez</w:t>
      </w:r>
    </w:p>
    <w:p w:rsidR="006520E3" w:rsidRPr="00D61D96" w:rsidRDefault="006520E3" w:rsidP="006520E3">
      <w:pPr>
        <w:rPr>
          <w:rFonts w:ascii="Arial" w:eastAsia="Calibri" w:hAnsi="Arial" w:cs="Arial"/>
          <w:b/>
          <w:spacing w:val="-1"/>
          <w:sz w:val="17"/>
          <w:szCs w:val="17"/>
        </w:rPr>
      </w:pPr>
      <w:r w:rsidRPr="00D61D96">
        <w:rPr>
          <w:rFonts w:ascii="Arial" w:eastAsia="Calibri" w:hAnsi="Arial" w:cs="Arial"/>
          <w:b/>
          <w:spacing w:val="-1"/>
          <w:sz w:val="17"/>
          <w:szCs w:val="17"/>
        </w:rPr>
        <w:t>Retos Crediticios</w:t>
      </w:r>
    </w:p>
    <w:p w:rsidR="006520E3" w:rsidRPr="00D61D96" w:rsidRDefault="006520E3" w:rsidP="006520E3">
      <w:pPr>
        <w:pStyle w:val="Prrafodelista"/>
        <w:numPr>
          <w:ilvl w:val="0"/>
          <w:numId w:val="30"/>
        </w:num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Elevado pasivo por pensiones sin fondear</w:t>
      </w:r>
    </w:p>
    <w:p w:rsidR="006520E3" w:rsidRPr="00D61D96" w:rsidRDefault="006520E3" w:rsidP="006520E3">
      <w:pPr>
        <w:spacing w:before="120" w:after="120" w:line="240" w:lineRule="exact"/>
        <w:jc w:val="both"/>
        <w:rPr>
          <w:rFonts w:ascii="Arial" w:eastAsia="Calibri" w:hAnsi="Arial" w:cs="Arial"/>
          <w:b/>
          <w:spacing w:val="-1"/>
          <w:sz w:val="17"/>
          <w:szCs w:val="17"/>
        </w:rPr>
      </w:pPr>
      <w:r w:rsidRPr="00D61D96">
        <w:rPr>
          <w:rFonts w:ascii="Arial" w:eastAsia="Calibri" w:hAnsi="Arial" w:cs="Arial"/>
          <w:b/>
          <w:spacing w:val="-1"/>
          <w:sz w:val="17"/>
          <w:szCs w:val="17"/>
        </w:rPr>
        <w:t>Perspectiva de la Calificación</w:t>
      </w:r>
    </w:p>
    <w:p w:rsidR="006520E3" w:rsidRPr="00D61D96" w:rsidRDefault="006520E3" w:rsidP="006520E3">
      <w:p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La perspectiva de las calificaciones del Estado de Querétaro es estable y refleja nuestra expectativa de que el estado seguirá registrando muy bajos niveles de deuda y la liquidez se mantendrá alta.</w:t>
      </w:r>
    </w:p>
    <w:p w:rsidR="006520E3" w:rsidRPr="00D61D96" w:rsidRDefault="006520E3" w:rsidP="006520E3">
      <w:pPr>
        <w:spacing w:before="120" w:after="120" w:line="240" w:lineRule="exact"/>
        <w:jc w:val="both"/>
        <w:rPr>
          <w:rFonts w:ascii="Arial" w:eastAsia="Calibri" w:hAnsi="Arial" w:cs="Arial"/>
          <w:b/>
          <w:spacing w:val="-1"/>
          <w:sz w:val="17"/>
          <w:szCs w:val="17"/>
        </w:rPr>
      </w:pPr>
      <w:r w:rsidRPr="00D61D96">
        <w:rPr>
          <w:rFonts w:ascii="Arial" w:eastAsia="Calibri" w:hAnsi="Arial" w:cs="Arial"/>
          <w:b/>
          <w:spacing w:val="-1"/>
          <w:sz w:val="17"/>
          <w:szCs w:val="17"/>
        </w:rPr>
        <w:t>Factores que Podrían Cambiar la Calificación al Alza</w:t>
      </w:r>
    </w:p>
    <w:p w:rsidR="006520E3" w:rsidRPr="00D61D96" w:rsidRDefault="006520E3" w:rsidP="006520E3">
      <w:p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Debido a que la perspectiva es estable, no esperamos un alza de la calificación en el mediano plazo. Sin embargo, si hay un cambio estructural a su sistema de pensiones que disminuya esta contingencia y si los indicadores de liquidez y financieros se mantienen en los niveles actuales podría haber presión al alza en las calificaciones.</w:t>
      </w:r>
    </w:p>
    <w:p w:rsidR="006520E3" w:rsidRPr="00D61D96" w:rsidRDefault="006520E3" w:rsidP="006520E3">
      <w:pPr>
        <w:spacing w:before="120" w:after="120" w:line="240" w:lineRule="exact"/>
        <w:jc w:val="both"/>
        <w:rPr>
          <w:rFonts w:ascii="Arial" w:eastAsia="Calibri" w:hAnsi="Arial" w:cs="Arial"/>
          <w:b/>
          <w:spacing w:val="-1"/>
          <w:sz w:val="17"/>
          <w:szCs w:val="17"/>
        </w:rPr>
      </w:pPr>
      <w:r w:rsidRPr="00D61D96">
        <w:rPr>
          <w:rFonts w:ascii="Arial" w:eastAsia="Calibri" w:hAnsi="Arial" w:cs="Arial"/>
          <w:b/>
          <w:spacing w:val="-1"/>
          <w:sz w:val="17"/>
          <w:szCs w:val="17"/>
        </w:rPr>
        <w:t>Factores que Podrían Cambiar la Calificación a la Baja</w:t>
      </w:r>
    </w:p>
    <w:p w:rsidR="006520E3" w:rsidRPr="00852E42" w:rsidRDefault="006520E3" w:rsidP="006520E3">
      <w:pPr>
        <w:spacing w:before="120" w:after="120" w:line="240" w:lineRule="exact"/>
        <w:jc w:val="both"/>
        <w:rPr>
          <w:rFonts w:ascii="Arial" w:eastAsia="Calibri" w:hAnsi="Arial" w:cs="Arial"/>
          <w:spacing w:val="-1"/>
          <w:sz w:val="17"/>
          <w:szCs w:val="17"/>
        </w:rPr>
      </w:pPr>
      <w:r w:rsidRPr="00D61D96">
        <w:rPr>
          <w:rFonts w:ascii="Arial" w:eastAsia="Calibri" w:hAnsi="Arial" w:cs="Arial"/>
          <w:spacing w:val="-1"/>
          <w:sz w:val="17"/>
          <w:szCs w:val="17"/>
        </w:rPr>
        <w:t>Debido a que la perspectiva es estable, no esperamos un baja de la calificación. Sin embargo, u</w:t>
      </w:r>
      <w:r>
        <w:rPr>
          <w:rFonts w:ascii="Arial" w:eastAsia="Calibri" w:hAnsi="Arial" w:cs="Arial"/>
          <w:spacing w:val="-1"/>
          <w:sz w:val="17"/>
          <w:szCs w:val="17"/>
        </w:rPr>
        <w:t xml:space="preserve">n cambio abrupto en la política </w:t>
      </w:r>
      <w:r w:rsidRPr="00D61D96">
        <w:rPr>
          <w:rFonts w:ascii="Arial" w:eastAsia="Calibri" w:hAnsi="Arial" w:cs="Arial"/>
          <w:spacing w:val="-1"/>
          <w:sz w:val="17"/>
          <w:szCs w:val="17"/>
        </w:rPr>
        <w:t xml:space="preserve">financiera del estado que ocasione incrementos en </w:t>
      </w:r>
      <w:r w:rsidRPr="00852E42">
        <w:rPr>
          <w:rFonts w:ascii="Arial" w:eastAsia="Calibri" w:hAnsi="Arial" w:cs="Arial"/>
          <w:spacing w:val="-1"/>
          <w:sz w:val="17"/>
          <w:szCs w:val="17"/>
        </w:rPr>
        <w:t>los niveles de deuda, aunado con el deterioro sustancial de la liquidez podría ejercer presión a la baja en las calificaciones.</w:t>
      </w:r>
    </w:p>
    <w:p w:rsidR="006520E3" w:rsidRPr="00852E42" w:rsidRDefault="006520E3" w:rsidP="006520E3">
      <w:pPr>
        <w:spacing w:before="120" w:after="120" w:line="240" w:lineRule="exact"/>
        <w:jc w:val="both"/>
        <w:rPr>
          <w:rFonts w:ascii="Arial" w:eastAsia="Calibri" w:hAnsi="Arial" w:cs="Arial"/>
          <w:b/>
          <w:spacing w:val="-1"/>
          <w:sz w:val="17"/>
          <w:szCs w:val="17"/>
        </w:rPr>
      </w:pPr>
      <w:r w:rsidRPr="00852E42">
        <w:rPr>
          <w:rFonts w:ascii="Arial" w:eastAsia="Calibri" w:hAnsi="Arial" w:cs="Arial"/>
          <w:b/>
          <w:spacing w:val="-1"/>
          <w:sz w:val="17"/>
          <w:szCs w:val="17"/>
        </w:rPr>
        <w:t>Detalle de los Fundamentos Crediticios</w:t>
      </w:r>
    </w:p>
    <w:p w:rsidR="006520E3" w:rsidRDefault="006520E3" w:rsidP="006520E3">
      <w:pPr>
        <w:spacing w:before="120" w:after="120" w:line="240" w:lineRule="exact"/>
        <w:jc w:val="both"/>
        <w:rPr>
          <w:rFonts w:ascii="Arial" w:eastAsia="Calibri" w:hAnsi="Arial" w:cs="Arial"/>
          <w:spacing w:val="-1"/>
          <w:sz w:val="17"/>
          <w:szCs w:val="17"/>
        </w:rPr>
      </w:pPr>
      <w:r w:rsidRPr="00852E42">
        <w:rPr>
          <w:rFonts w:ascii="Arial" w:eastAsia="Calibri" w:hAnsi="Arial" w:cs="Arial"/>
          <w:spacing w:val="-1"/>
          <w:sz w:val="17"/>
          <w:szCs w:val="17"/>
        </w:rPr>
        <w:t>La calificación asignada al Estado de Querétaro combina</w:t>
      </w:r>
      <w:r w:rsidRPr="00D61D96">
        <w:rPr>
          <w:rFonts w:ascii="Arial" w:eastAsia="Calibri" w:hAnsi="Arial" w:cs="Arial"/>
          <w:spacing w:val="-1"/>
          <w:sz w:val="17"/>
          <w:szCs w:val="17"/>
        </w:rPr>
        <w:t xml:space="preserve"> 1) la evaluación del riesgo crediticio base (BC</w:t>
      </w:r>
      <w:r>
        <w:rPr>
          <w:rFonts w:ascii="Arial" w:eastAsia="Calibri" w:hAnsi="Arial" w:cs="Arial"/>
          <w:spacing w:val="-1"/>
          <w:sz w:val="17"/>
          <w:szCs w:val="17"/>
        </w:rPr>
        <w:t xml:space="preserve">A por sus siglas en inglés) del </w:t>
      </w:r>
      <w:r w:rsidRPr="00D61D96">
        <w:rPr>
          <w:rFonts w:ascii="Arial" w:eastAsia="Calibri" w:hAnsi="Arial" w:cs="Arial"/>
          <w:spacing w:val="-1"/>
          <w:sz w:val="17"/>
          <w:szCs w:val="17"/>
        </w:rPr>
        <w:t>estado de baa1 y 2) la baja probabilidad de apoyo extraordinario proveniente del Gobierno de México (A3 negativa) en caso que la</w:t>
      </w:r>
      <w:r>
        <w:rPr>
          <w:rFonts w:ascii="Arial" w:eastAsia="Calibri" w:hAnsi="Arial" w:cs="Arial"/>
          <w:spacing w:val="-1"/>
          <w:sz w:val="17"/>
          <w:szCs w:val="17"/>
        </w:rPr>
        <w:t xml:space="preserve"> </w:t>
      </w:r>
      <w:r w:rsidRPr="00D61D96">
        <w:rPr>
          <w:rFonts w:ascii="Arial" w:eastAsia="Calibri" w:hAnsi="Arial" w:cs="Arial"/>
          <w:spacing w:val="-1"/>
          <w:sz w:val="17"/>
          <w:szCs w:val="17"/>
        </w:rPr>
        <w:t>entidad enfrente una aguda situación de estrés de liquidez.</w:t>
      </w:r>
    </w:p>
    <w:p w:rsidR="00515775" w:rsidRDefault="00515775" w:rsidP="006520E3">
      <w:pPr>
        <w:spacing w:before="120" w:after="120" w:line="240" w:lineRule="exact"/>
        <w:jc w:val="both"/>
        <w:rPr>
          <w:rFonts w:ascii="Arial" w:eastAsia="Calibri" w:hAnsi="Arial" w:cs="Arial"/>
          <w:spacing w:val="-1"/>
          <w:sz w:val="17"/>
          <w:szCs w:val="17"/>
        </w:rPr>
      </w:pPr>
    </w:p>
    <w:p w:rsidR="00515775" w:rsidRDefault="00515775" w:rsidP="006520E3">
      <w:pPr>
        <w:spacing w:before="120" w:after="120" w:line="240" w:lineRule="exact"/>
        <w:jc w:val="both"/>
        <w:rPr>
          <w:rFonts w:ascii="Arial" w:eastAsia="Calibri" w:hAnsi="Arial" w:cs="Arial"/>
          <w:spacing w:val="-1"/>
          <w:sz w:val="17"/>
          <w:szCs w:val="17"/>
        </w:rPr>
      </w:pPr>
    </w:p>
    <w:p w:rsidR="00515775" w:rsidRPr="00A80F2F" w:rsidRDefault="00515775" w:rsidP="006520E3">
      <w:pPr>
        <w:spacing w:before="120" w:after="120" w:line="240" w:lineRule="exact"/>
        <w:jc w:val="both"/>
        <w:rPr>
          <w:rFonts w:ascii="Arial" w:eastAsia="Calibri" w:hAnsi="Arial" w:cs="Arial"/>
          <w:spacing w:val="-1"/>
          <w:sz w:val="17"/>
          <w:szCs w:val="17"/>
        </w:rPr>
      </w:pPr>
    </w:p>
    <w:p w:rsidR="006520E3" w:rsidRPr="00A80F2F" w:rsidRDefault="006520E3" w:rsidP="006520E3">
      <w:pPr>
        <w:pStyle w:val="Prrafodelista"/>
        <w:numPr>
          <w:ilvl w:val="0"/>
          <w:numId w:val="16"/>
        </w:numPr>
        <w:spacing w:before="120" w:after="120" w:line="240" w:lineRule="exact"/>
        <w:jc w:val="both"/>
        <w:rPr>
          <w:rFonts w:ascii="Arial" w:eastAsia="Calibri" w:hAnsi="Arial" w:cs="Arial"/>
          <w:b/>
          <w:spacing w:val="-1"/>
          <w:sz w:val="17"/>
          <w:szCs w:val="17"/>
          <w:u w:val="single"/>
        </w:rPr>
      </w:pPr>
      <w:r w:rsidRPr="00A80F2F">
        <w:rPr>
          <w:rFonts w:ascii="Arial" w:eastAsia="Calibri" w:hAnsi="Arial" w:cs="Arial"/>
          <w:b/>
          <w:spacing w:val="-1"/>
          <w:sz w:val="17"/>
          <w:szCs w:val="17"/>
          <w:u w:val="single"/>
        </w:rPr>
        <w:lastRenderedPageBreak/>
        <w:t xml:space="preserve">Opinión Crediticia emitida por Standard &amp; </w:t>
      </w:r>
      <w:proofErr w:type="spellStart"/>
      <w:r w:rsidRPr="00A80F2F">
        <w:rPr>
          <w:rFonts w:ascii="Arial" w:eastAsia="Calibri" w:hAnsi="Arial" w:cs="Arial"/>
          <w:b/>
          <w:spacing w:val="-1"/>
          <w:sz w:val="17"/>
          <w:szCs w:val="17"/>
          <w:u w:val="single"/>
        </w:rPr>
        <w:t>Poor's</w:t>
      </w:r>
      <w:proofErr w:type="spellEnd"/>
      <w:r w:rsidRPr="00A80F2F">
        <w:rPr>
          <w:rFonts w:ascii="Arial" w:eastAsia="Calibri" w:hAnsi="Arial" w:cs="Arial"/>
          <w:b/>
          <w:spacing w:val="-1"/>
          <w:sz w:val="17"/>
          <w:szCs w:val="17"/>
          <w:u w:val="single"/>
        </w:rPr>
        <w:t>:</w:t>
      </w:r>
    </w:p>
    <w:p w:rsidR="006520E3" w:rsidRPr="00A80F2F" w:rsidRDefault="006520E3" w:rsidP="006520E3">
      <w:pPr>
        <w:pStyle w:val="Prrafodelista"/>
        <w:spacing w:before="120" w:after="120" w:line="240" w:lineRule="exact"/>
        <w:jc w:val="both"/>
        <w:rPr>
          <w:rFonts w:ascii="Arial" w:eastAsia="Calibri" w:hAnsi="Arial" w:cs="Arial"/>
          <w:b/>
          <w:spacing w:val="-1"/>
          <w:sz w:val="17"/>
          <w:szCs w:val="17"/>
          <w:u w:val="single"/>
        </w:rPr>
      </w:pPr>
    </w:p>
    <w:p w:rsidR="006520E3" w:rsidRPr="00133C02" w:rsidRDefault="006520E3" w:rsidP="006520E3">
      <w:pPr>
        <w:spacing w:before="120" w:after="120" w:line="240" w:lineRule="exact"/>
        <w:jc w:val="both"/>
        <w:rPr>
          <w:rFonts w:ascii="Arial" w:eastAsia="Calibri" w:hAnsi="Arial" w:cs="Arial"/>
          <w:b/>
          <w:spacing w:val="-1"/>
          <w:sz w:val="17"/>
          <w:szCs w:val="17"/>
        </w:rPr>
      </w:pPr>
      <w:r w:rsidRPr="00133C02">
        <w:rPr>
          <w:rFonts w:ascii="Arial" w:eastAsia="Calibri" w:hAnsi="Arial" w:cs="Arial"/>
          <w:b/>
          <w:spacing w:val="-1"/>
          <w:sz w:val="17"/>
          <w:szCs w:val="17"/>
        </w:rPr>
        <w:t>Resumen</w:t>
      </w:r>
    </w:p>
    <w:p w:rsidR="00FE7D91" w:rsidRPr="00FE7D91" w:rsidRDefault="00FE7D91" w:rsidP="00FE7D91">
      <w:pPr>
        <w:pStyle w:val="Prrafodelista"/>
        <w:numPr>
          <w:ilvl w:val="0"/>
          <w:numId w:val="30"/>
        </w:num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Las disciplinadas políticas financieras de Querétaro han mantenido un sólido desempeño fiscal, una decreciente carga de deuda, y una liquidez adecuada.</w:t>
      </w:r>
    </w:p>
    <w:p w:rsidR="00FE7D91" w:rsidRPr="00FE7D91" w:rsidRDefault="00FE7D91" w:rsidP="00FE7D91">
      <w:pPr>
        <w:pStyle w:val="Prrafodelista"/>
        <w:numPr>
          <w:ilvl w:val="0"/>
          <w:numId w:val="30"/>
        </w:num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Confirmamos nuestras calificaciones crediticias de emisor en escala global de 'BBB' y en escala nacional de '</w:t>
      </w:r>
      <w:proofErr w:type="spellStart"/>
      <w:r w:rsidRPr="00FE7D91">
        <w:rPr>
          <w:rFonts w:ascii="Arial" w:eastAsia="Calibri" w:hAnsi="Arial" w:cs="Arial"/>
          <w:spacing w:val="-1"/>
          <w:sz w:val="17"/>
          <w:szCs w:val="17"/>
        </w:rPr>
        <w:t>mxAA</w:t>
      </w:r>
      <w:proofErr w:type="spellEnd"/>
      <w:r w:rsidRPr="00FE7D91">
        <w:rPr>
          <w:rFonts w:ascii="Arial" w:eastAsia="Calibri" w:hAnsi="Arial" w:cs="Arial"/>
          <w:spacing w:val="-1"/>
          <w:sz w:val="17"/>
          <w:szCs w:val="17"/>
        </w:rPr>
        <w:t>+' de Querétaro.</w:t>
      </w:r>
    </w:p>
    <w:p w:rsidR="00FE7D91" w:rsidRDefault="00FE7D91" w:rsidP="00FE7D91">
      <w:pPr>
        <w:pStyle w:val="Prrafodelista"/>
        <w:numPr>
          <w:ilvl w:val="0"/>
          <w:numId w:val="30"/>
        </w:num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 perspectiva estable refleja nuestra expectativa de que la experimentada administración de Querétaro podría mantener un perfil fiscal sólido durante los siguientes dos años, a pesar de menores transferencias federales y limita</w:t>
      </w:r>
      <w:r>
        <w:rPr>
          <w:rFonts w:ascii="Arial" w:eastAsia="Calibri" w:hAnsi="Arial" w:cs="Arial"/>
          <w:spacing w:val="-1"/>
          <w:sz w:val="17"/>
          <w:szCs w:val="17"/>
        </w:rPr>
        <w:t>da flexibilidad presupuestaria.</w:t>
      </w:r>
    </w:p>
    <w:p w:rsidR="006520E3"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b/>
          <w:spacing w:val="-1"/>
          <w:sz w:val="17"/>
          <w:szCs w:val="17"/>
        </w:rPr>
        <w:t xml:space="preserve"> </w:t>
      </w:r>
      <w:r w:rsidR="006520E3" w:rsidRPr="00FE7D91">
        <w:rPr>
          <w:rFonts w:ascii="Arial" w:eastAsia="Calibri" w:hAnsi="Arial" w:cs="Arial"/>
          <w:b/>
          <w:spacing w:val="-1"/>
          <w:sz w:val="17"/>
          <w:szCs w:val="17"/>
        </w:rPr>
        <w:t>Acción de Calificación</w:t>
      </w:r>
    </w:p>
    <w:p w:rsid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Ciudad de México, 21 de octubre de 2019 - S&amp;P Global Ratings confirmó hoy sus calif</w:t>
      </w:r>
      <w:r>
        <w:rPr>
          <w:rFonts w:ascii="Arial" w:eastAsia="Calibri" w:hAnsi="Arial" w:cs="Arial"/>
          <w:spacing w:val="-1"/>
          <w:sz w:val="17"/>
          <w:szCs w:val="17"/>
        </w:rPr>
        <w:t xml:space="preserve">icaciones </w:t>
      </w:r>
      <w:r w:rsidRPr="00FE7D91">
        <w:rPr>
          <w:rFonts w:ascii="Arial" w:eastAsia="Calibri" w:hAnsi="Arial" w:cs="Arial"/>
          <w:spacing w:val="-1"/>
          <w:sz w:val="17"/>
          <w:szCs w:val="17"/>
        </w:rPr>
        <w:t xml:space="preserve">crediticias de emisor de largo plazo en escala global de 'BBB' </w:t>
      </w:r>
      <w:r>
        <w:rPr>
          <w:rFonts w:ascii="Arial" w:eastAsia="Calibri" w:hAnsi="Arial" w:cs="Arial"/>
          <w:spacing w:val="-1"/>
          <w:sz w:val="17"/>
          <w:szCs w:val="17"/>
        </w:rPr>
        <w:t>y en escala nacional –</w:t>
      </w:r>
      <w:proofErr w:type="spellStart"/>
      <w:r>
        <w:rPr>
          <w:rFonts w:ascii="Arial" w:eastAsia="Calibri" w:hAnsi="Arial" w:cs="Arial"/>
          <w:spacing w:val="-1"/>
          <w:sz w:val="17"/>
          <w:szCs w:val="17"/>
        </w:rPr>
        <w:t>CaVal</w:t>
      </w:r>
      <w:proofErr w:type="spellEnd"/>
      <w:r>
        <w:rPr>
          <w:rFonts w:ascii="Arial" w:eastAsia="Calibri" w:hAnsi="Arial" w:cs="Arial"/>
          <w:spacing w:val="-1"/>
          <w:sz w:val="17"/>
          <w:szCs w:val="17"/>
        </w:rPr>
        <w:t xml:space="preserve">– de </w:t>
      </w:r>
      <w:r w:rsidRPr="00FE7D91">
        <w:rPr>
          <w:rFonts w:ascii="Arial" w:eastAsia="Calibri" w:hAnsi="Arial" w:cs="Arial"/>
          <w:spacing w:val="-1"/>
          <w:sz w:val="17"/>
          <w:szCs w:val="17"/>
        </w:rPr>
        <w:t>'</w:t>
      </w:r>
      <w:proofErr w:type="spellStart"/>
      <w:r w:rsidRPr="00FE7D91">
        <w:rPr>
          <w:rFonts w:ascii="Arial" w:eastAsia="Calibri" w:hAnsi="Arial" w:cs="Arial"/>
          <w:spacing w:val="-1"/>
          <w:sz w:val="17"/>
          <w:szCs w:val="17"/>
        </w:rPr>
        <w:t>mxAA</w:t>
      </w:r>
      <w:proofErr w:type="spellEnd"/>
      <w:r w:rsidRPr="00FE7D91">
        <w:rPr>
          <w:rFonts w:ascii="Arial" w:eastAsia="Calibri" w:hAnsi="Arial" w:cs="Arial"/>
          <w:spacing w:val="-1"/>
          <w:sz w:val="17"/>
          <w:szCs w:val="17"/>
        </w:rPr>
        <w:t>+' del Estado de Querétaro Arteaga (Querétaro), México. La p</w:t>
      </w:r>
      <w:r>
        <w:rPr>
          <w:rFonts w:ascii="Arial" w:eastAsia="Calibri" w:hAnsi="Arial" w:cs="Arial"/>
          <w:spacing w:val="-1"/>
          <w:sz w:val="17"/>
          <w:szCs w:val="17"/>
        </w:rPr>
        <w:t>erspectiva se mantiene estable.</w:t>
      </w:r>
    </w:p>
    <w:p w:rsidR="006520E3" w:rsidRPr="00133C02"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b/>
          <w:spacing w:val="-1"/>
          <w:sz w:val="17"/>
          <w:szCs w:val="17"/>
        </w:rPr>
        <w:t xml:space="preserve"> </w:t>
      </w:r>
      <w:r w:rsidR="006520E3" w:rsidRPr="00133C02">
        <w:rPr>
          <w:rFonts w:ascii="Arial" w:eastAsia="Calibri" w:hAnsi="Arial" w:cs="Arial"/>
          <w:b/>
          <w:spacing w:val="-1"/>
          <w:sz w:val="17"/>
          <w:szCs w:val="17"/>
        </w:rPr>
        <w:t>Perspectiva</w:t>
      </w:r>
    </w:p>
    <w:p w:rsid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 perspectiva estable refleja nuestra expectativa de que las disc</w:t>
      </w:r>
      <w:r>
        <w:rPr>
          <w:rFonts w:ascii="Arial" w:eastAsia="Calibri" w:hAnsi="Arial" w:cs="Arial"/>
          <w:spacing w:val="-1"/>
          <w:sz w:val="17"/>
          <w:szCs w:val="17"/>
        </w:rPr>
        <w:t xml:space="preserve">iplinadas políticas fiscales de </w:t>
      </w:r>
      <w:r w:rsidRPr="00FE7D91">
        <w:rPr>
          <w:rFonts w:ascii="Arial" w:eastAsia="Calibri" w:hAnsi="Arial" w:cs="Arial"/>
          <w:spacing w:val="-1"/>
          <w:sz w:val="17"/>
          <w:szCs w:val="17"/>
        </w:rPr>
        <w:t>Querétaro mantengan un perfil fiscal sólido durante los sigu</w:t>
      </w:r>
      <w:r>
        <w:rPr>
          <w:rFonts w:ascii="Arial" w:eastAsia="Calibri" w:hAnsi="Arial" w:cs="Arial"/>
          <w:spacing w:val="-1"/>
          <w:sz w:val="17"/>
          <w:szCs w:val="17"/>
        </w:rPr>
        <w:t xml:space="preserve">ientes dos años, a pesar de las </w:t>
      </w:r>
      <w:r w:rsidRPr="00FE7D91">
        <w:rPr>
          <w:rFonts w:ascii="Arial" w:eastAsia="Calibri" w:hAnsi="Arial" w:cs="Arial"/>
          <w:spacing w:val="-1"/>
          <w:sz w:val="17"/>
          <w:szCs w:val="17"/>
        </w:rPr>
        <w:t>menores transferencias federales y su limitada flexibilidad pres</w:t>
      </w:r>
      <w:r>
        <w:rPr>
          <w:rFonts w:ascii="Arial" w:eastAsia="Calibri" w:hAnsi="Arial" w:cs="Arial"/>
          <w:spacing w:val="-1"/>
          <w:sz w:val="17"/>
          <w:szCs w:val="17"/>
        </w:rPr>
        <w:t xml:space="preserve">upuestaria. Consideramos que el </w:t>
      </w:r>
      <w:r w:rsidRPr="00FE7D91">
        <w:rPr>
          <w:rFonts w:ascii="Arial" w:eastAsia="Calibri" w:hAnsi="Arial" w:cs="Arial"/>
          <w:spacing w:val="-1"/>
          <w:sz w:val="17"/>
          <w:szCs w:val="17"/>
        </w:rPr>
        <w:t>efectivo acumulado del Estado será suficiente para cubrir su plan d</w:t>
      </w:r>
      <w:r>
        <w:rPr>
          <w:rFonts w:ascii="Arial" w:eastAsia="Calibri" w:hAnsi="Arial" w:cs="Arial"/>
          <w:spacing w:val="-1"/>
          <w:sz w:val="17"/>
          <w:szCs w:val="17"/>
        </w:rPr>
        <w:t xml:space="preserve">e infraestructura y servicio de </w:t>
      </w:r>
      <w:r w:rsidRPr="00FE7D91">
        <w:rPr>
          <w:rFonts w:ascii="Arial" w:eastAsia="Calibri" w:hAnsi="Arial" w:cs="Arial"/>
          <w:spacing w:val="-1"/>
          <w:sz w:val="17"/>
          <w:szCs w:val="17"/>
        </w:rPr>
        <w:t xml:space="preserve">deuda, y por lo tanto no esperamos que contraiga nueva deuda </w:t>
      </w:r>
      <w:r>
        <w:rPr>
          <w:rFonts w:ascii="Arial" w:eastAsia="Calibri" w:hAnsi="Arial" w:cs="Arial"/>
          <w:spacing w:val="-1"/>
          <w:sz w:val="17"/>
          <w:szCs w:val="17"/>
        </w:rPr>
        <w:t xml:space="preserve">en los siguientes años. Además, </w:t>
      </w:r>
      <w:r w:rsidRPr="00FE7D91">
        <w:rPr>
          <w:rFonts w:ascii="Arial" w:eastAsia="Calibri" w:hAnsi="Arial" w:cs="Arial"/>
          <w:spacing w:val="-1"/>
          <w:sz w:val="17"/>
          <w:szCs w:val="17"/>
        </w:rPr>
        <w:t>esperamos que la economía de Querétaro continúe creciendo más rápido que la del soberano</w:t>
      </w:r>
      <w:r>
        <w:rPr>
          <w:rFonts w:ascii="Arial" w:eastAsia="Calibri" w:hAnsi="Arial" w:cs="Arial"/>
          <w:spacing w:val="-1"/>
          <w:sz w:val="17"/>
          <w:szCs w:val="17"/>
        </w:rPr>
        <w:t xml:space="preserve">, </w:t>
      </w:r>
      <w:r w:rsidRPr="00FE7D91">
        <w:rPr>
          <w:rFonts w:ascii="Arial" w:eastAsia="Calibri" w:hAnsi="Arial" w:cs="Arial"/>
          <w:spacing w:val="-1"/>
          <w:sz w:val="17"/>
          <w:szCs w:val="17"/>
        </w:rPr>
        <w:t>aunque la disminución de la confianza del sector privado podría retr</w:t>
      </w:r>
      <w:r>
        <w:rPr>
          <w:rFonts w:ascii="Arial" w:eastAsia="Calibri" w:hAnsi="Arial" w:cs="Arial"/>
          <w:spacing w:val="-1"/>
          <w:sz w:val="17"/>
          <w:szCs w:val="17"/>
        </w:rPr>
        <w:t xml:space="preserve">asar las inversiones privadas y </w:t>
      </w:r>
      <w:r w:rsidRPr="00FE7D91">
        <w:rPr>
          <w:rFonts w:ascii="Arial" w:eastAsia="Calibri" w:hAnsi="Arial" w:cs="Arial"/>
          <w:spacing w:val="-1"/>
          <w:sz w:val="17"/>
          <w:szCs w:val="17"/>
        </w:rPr>
        <w:t>derivar en un meno</w:t>
      </w:r>
      <w:r>
        <w:rPr>
          <w:rFonts w:ascii="Arial" w:eastAsia="Calibri" w:hAnsi="Arial" w:cs="Arial"/>
          <w:spacing w:val="-1"/>
          <w:sz w:val="17"/>
          <w:szCs w:val="17"/>
        </w:rPr>
        <w:t>r crecimiento que en el pasado.</w:t>
      </w:r>
    </w:p>
    <w:p w:rsidR="006520E3" w:rsidRPr="00133C02" w:rsidRDefault="006520E3" w:rsidP="006520E3">
      <w:pPr>
        <w:spacing w:before="120" w:after="120" w:line="240" w:lineRule="exact"/>
        <w:jc w:val="both"/>
        <w:rPr>
          <w:rFonts w:ascii="Arial" w:eastAsia="Calibri" w:hAnsi="Arial" w:cs="Arial"/>
          <w:spacing w:val="-1"/>
          <w:sz w:val="17"/>
          <w:szCs w:val="17"/>
        </w:rPr>
      </w:pPr>
      <w:r w:rsidRPr="00133C02">
        <w:rPr>
          <w:rFonts w:ascii="Arial" w:eastAsia="Calibri" w:hAnsi="Arial" w:cs="Arial"/>
          <w:i/>
          <w:spacing w:val="-1"/>
          <w:sz w:val="17"/>
          <w:szCs w:val="17"/>
        </w:rPr>
        <w:t>Escenario negativo</w:t>
      </w:r>
    </w:p>
    <w:p w:rsid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 xml:space="preserve">Podríamos bajar las calificaciones de Querétaro en los siguientes </w:t>
      </w:r>
      <w:r>
        <w:rPr>
          <w:rFonts w:ascii="Arial" w:eastAsia="Calibri" w:hAnsi="Arial" w:cs="Arial"/>
          <w:spacing w:val="-1"/>
          <w:sz w:val="17"/>
          <w:szCs w:val="17"/>
        </w:rPr>
        <w:t xml:space="preserve">dos años si observamos déficits </w:t>
      </w:r>
      <w:r w:rsidRPr="00FE7D91">
        <w:rPr>
          <w:rFonts w:ascii="Arial" w:eastAsia="Calibri" w:hAnsi="Arial" w:cs="Arial"/>
          <w:spacing w:val="-1"/>
          <w:sz w:val="17"/>
          <w:szCs w:val="17"/>
        </w:rPr>
        <w:t>operativos consistentes y déficits después de gastos de inversió</w:t>
      </w:r>
      <w:r>
        <w:rPr>
          <w:rFonts w:ascii="Arial" w:eastAsia="Calibri" w:hAnsi="Arial" w:cs="Arial"/>
          <w:spacing w:val="-1"/>
          <w:sz w:val="17"/>
          <w:szCs w:val="17"/>
        </w:rPr>
        <w:t xml:space="preserve">n mayores a 5% del total de los </w:t>
      </w:r>
      <w:r w:rsidRPr="00FE7D91">
        <w:rPr>
          <w:rFonts w:ascii="Arial" w:eastAsia="Calibri" w:hAnsi="Arial" w:cs="Arial"/>
          <w:spacing w:val="-1"/>
          <w:sz w:val="17"/>
          <w:szCs w:val="17"/>
        </w:rPr>
        <w:t>ingresos. En nuestra opinión, las menores transferencias federal</w:t>
      </w:r>
      <w:r>
        <w:rPr>
          <w:rFonts w:ascii="Arial" w:eastAsia="Calibri" w:hAnsi="Arial" w:cs="Arial"/>
          <w:spacing w:val="-1"/>
          <w:sz w:val="17"/>
          <w:szCs w:val="17"/>
        </w:rPr>
        <w:t xml:space="preserve">es que recibe el Estado podrían </w:t>
      </w:r>
      <w:r w:rsidRPr="00FE7D91">
        <w:rPr>
          <w:rFonts w:ascii="Arial" w:eastAsia="Calibri" w:hAnsi="Arial" w:cs="Arial"/>
          <w:spacing w:val="-1"/>
          <w:sz w:val="17"/>
          <w:szCs w:val="17"/>
        </w:rPr>
        <w:t>afectar su desempeño fiscal si la administración no aplica medidas cor</w:t>
      </w:r>
      <w:r>
        <w:rPr>
          <w:rFonts w:ascii="Arial" w:eastAsia="Calibri" w:hAnsi="Arial" w:cs="Arial"/>
          <w:spacing w:val="-1"/>
          <w:sz w:val="17"/>
          <w:szCs w:val="17"/>
        </w:rPr>
        <w:t xml:space="preserve">rectivas de manera oportuna. </w:t>
      </w:r>
      <w:r w:rsidRPr="00FE7D91">
        <w:rPr>
          <w:rFonts w:ascii="Arial" w:eastAsia="Calibri" w:hAnsi="Arial" w:cs="Arial"/>
          <w:spacing w:val="-1"/>
          <w:sz w:val="17"/>
          <w:szCs w:val="17"/>
        </w:rPr>
        <w:t>En este escenario, esperaríamos una rápida erosión de las r</w:t>
      </w:r>
      <w:r>
        <w:rPr>
          <w:rFonts w:ascii="Arial" w:eastAsia="Calibri" w:hAnsi="Arial" w:cs="Arial"/>
          <w:spacing w:val="-1"/>
          <w:sz w:val="17"/>
          <w:szCs w:val="17"/>
        </w:rPr>
        <w:t xml:space="preserve">eservas acumuladas y crecientes </w:t>
      </w:r>
      <w:r w:rsidRPr="00FE7D91">
        <w:rPr>
          <w:rFonts w:ascii="Arial" w:eastAsia="Calibri" w:hAnsi="Arial" w:cs="Arial"/>
          <w:spacing w:val="-1"/>
          <w:sz w:val="17"/>
          <w:szCs w:val="17"/>
        </w:rPr>
        <w:t>necesidades financieras.</w:t>
      </w:r>
    </w:p>
    <w:p w:rsidR="006520E3" w:rsidRPr="00133C02"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 xml:space="preserve"> </w:t>
      </w:r>
      <w:r w:rsidR="006520E3" w:rsidRPr="00133C02">
        <w:rPr>
          <w:rFonts w:ascii="Arial" w:eastAsia="Calibri" w:hAnsi="Arial" w:cs="Arial"/>
          <w:i/>
          <w:spacing w:val="-1"/>
          <w:sz w:val="17"/>
          <w:szCs w:val="17"/>
        </w:rPr>
        <w:t>Escenario positivo</w:t>
      </w:r>
    </w:p>
    <w:p w:rsidR="006520E3" w:rsidRPr="00133C02"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Podríamos tomar una acción de calificación positiva en los siguie</w:t>
      </w:r>
      <w:r>
        <w:rPr>
          <w:rFonts w:ascii="Arial" w:eastAsia="Calibri" w:hAnsi="Arial" w:cs="Arial"/>
          <w:spacing w:val="-1"/>
          <w:sz w:val="17"/>
          <w:szCs w:val="17"/>
        </w:rPr>
        <w:t xml:space="preserve">ntes dos años si observamos una </w:t>
      </w:r>
      <w:r w:rsidRPr="00FE7D91">
        <w:rPr>
          <w:rFonts w:ascii="Arial" w:eastAsia="Calibri" w:hAnsi="Arial" w:cs="Arial"/>
          <w:spacing w:val="-1"/>
          <w:sz w:val="17"/>
          <w:szCs w:val="17"/>
        </w:rPr>
        <w:t>menor dependencia de las transferencias federales, lo cual reduciría</w:t>
      </w:r>
      <w:r>
        <w:rPr>
          <w:rFonts w:ascii="Arial" w:eastAsia="Calibri" w:hAnsi="Arial" w:cs="Arial"/>
          <w:spacing w:val="-1"/>
          <w:sz w:val="17"/>
          <w:szCs w:val="17"/>
        </w:rPr>
        <w:t xml:space="preserve"> la vulnerabilidad de Querétaro </w:t>
      </w:r>
      <w:r w:rsidRPr="00FE7D91">
        <w:rPr>
          <w:rFonts w:ascii="Arial" w:eastAsia="Calibri" w:hAnsi="Arial" w:cs="Arial"/>
          <w:spacing w:val="-1"/>
          <w:sz w:val="17"/>
          <w:szCs w:val="17"/>
        </w:rPr>
        <w:t>al desempeño del gobierno nacional. Adicionalmente, subiríamos l</w:t>
      </w:r>
      <w:r>
        <w:rPr>
          <w:rFonts w:ascii="Arial" w:eastAsia="Calibri" w:hAnsi="Arial" w:cs="Arial"/>
          <w:spacing w:val="-1"/>
          <w:sz w:val="17"/>
          <w:szCs w:val="17"/>
        </w:rPr>
        <w:t xml:space="preserve">as calificaciones del Estado si </w:t>
      </w:r>
      <w:r w:rsidRPr="00FE7D91">
        <w:rPr>
          <w:rFonts w:ascii="Arial" w:eastAsia="Calibri" w:hAnsi="Arial" w:cs="Arial"/>
          <w:spacing w:val="-1"/>
          <w:sz w:val="17"/>
          <w:szCs w:val="17"/>
        </w:rPr>
        <w:t>mejora nuestra evaluación del marco institucional en el que operan los esta</w:t>
      </w:r>
      <w:r>
        <w:rPr>
          <w:rFonts w:ascii="Arial" w:eastAsia="Calibri" w:hAnsi="Arial" w:cs="Arial"/>
          <w:spacing w:val="-1"/>
          <w:sz w:val="17"/>
          <w:szCs w:val="17"/>
        </w:rPr>
        <w:t xml:space="preserve">dos en México, aunque </w:t>
      </w:r>
      <w:r w:rsidRPr="00FE7D91">
        <w:rPr>
          <w:rFonts w:ascii="Arial" w:eastAsia="Calibri" w:hAnsi="Arial" w:cs="Arial"/>
          <w:spacing w:val="-1"/>
          <w:sz w:val="17"/>
          <w:szCs w:val="17"/>
        </w:rPr>
        <w:t>no consideramos que este escenario se presente en los siguientes dos años.</w:t>
      </w:r>
      <w:r w:rsidRPr="00FE7D91">
        <w:rPr>
          <w:rFonts w:ascii="Arial" w:eastAsia="Calibri" w:hAnsi="Arial" w:cs="Arial"/>
          <w:spacing w:val="-1"/>
          <w:sz w:val="17"/>
          <w:szCs w:val="17"/>
        </w:rPr>
        <w:cr/>
      </w:r>
    </w:p>
    <w:p w:rsidR="006520E3" w:rsidRPr="00133C02" w:rsidRDefault="006520E3" w:rsidP="006520E3">
      <w:pPr>
        <w:spacing w:before="120" w:after="120" w:line="240" w:lineRule="exact"/>
        <w:jc w:val="both"/>
        <w:rPr>
          <w:rFonts w:ascii="Arial" w:eastAsia="Calibri" w:hAnsi="Arial" w:cs="Arial"/>
          <w:spacing w:val="-1"/>
          <w:sz w:val="17"/>
          <w:szCs w:val="17"/>
        </w:rPr>
      </w:pPr>
      <w:r w:rsidRPr="00133C02">
        <w:rPr>
          <w:rFonts w:ascii="Arial" w:eastAsia="Calibri" w:hAnsi="Arial" w:cs="Arial"/>
          <w:b/>
          <w:spacing w:val="-1"/>
          <w:sz w:val="17"/>
          <w:szCs w:val="17"/>
        </w:rPr>
        <w:t>Fundamento</w:t>
      </w:r>
    </w:p>
    <w:p w:rsidR="006520E3"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 xml:space="preserve">Las calificaciones crediticias de emisor en escala global de 'BBB' </w:t>
      </w:r>
      <w:r>
        <w:rPr>
          <w:rFonts w:ascii="Arial" w:eastAsia="Calibri" w:hAnsi="Arial" w:cs="Arial"/>
          <w:spacing w:val="-1"/>
          <w:sz w:val="17"/>
          <w:szCs w:val="17"/>
        </w:rPr>
        <w:t>y en escala nacional de '</w:t>
      </w:r>
      <w:proofErr w:type="spellStart"/>
      <w:r>
        <w:rPr>
          <w:rFonts w:ascii="Arial" w:eastAsia="Calibri" w:hAnsi="Arial" w:cs="Arial"/>
          <w:spacing w:val="-1"/>
          <w:sz w:val="17"/>
          <w:szCs w:val="17"/>
        </w:rPr>
        <w:t>mxAA</w:t>
      </w:r>
      <w:proofErr w:type="spellEnd"/>
      <w:r>
        <w:rPr>
          <w:rFonts w:ascii="Arial" w:eastAsia="Calibri" w:hAnsi="Arial" w:cs="Arial"/>
          <w:spacing w:val="-1"/>
          <w:sz w:val="17"/>
          <w:szCs w:val="17"/>
        </w:rPr>
        <w:t xml:space="preserve">+' </w:t>
      </w:r>
      <w:r w:rsidRPr="00FE7D91">
        <w:rPr>
          <w:rFonts w:ascii="Arial" w:eastAsia="Calibri" w:hAnsi="Arial" w:cs="Arial"/>
          <w:spacing w:val="-1"/>
          <w:sz w:val="17"/>
          <w:szCs w:val="17"/>
        </w:rPr>
        <w:t>de Querétaro reflejan nuestra opinión sobre la experimentada y prud</w:t>
      </w:r>
      <w:r>
        <w:rPr>
          <w:rFonts w:ascii="Arial" w:eastAsia="Calibri" w:hAnsi="Arial" w:cs="Arial"/>
          <w:spacing w:val="-1"/>
          <w:sz w:val="17"/>
          <w:szCs w:val="17"/>
        </w:rPr>
        <w:t xml:space="preserve">ente administración financiera, </w:t>
      </w:r>
      <w:r w:rsidRPr="00FE7D91">
        <w:rPr>
          <w:rFonts w:ascii="Arial" w:eastAsia="Calibri" w:hAnsi="Arial" w:cs="Arial"/>
          <w:spacing w:val="-1"/>
          <w:sz w:val="17"/>
          <w:szCs w:val="17"/>
        </w:rPr>
        <w:t>que ha llevado adelante políticas que se han traducido en un desemp</w:t>
      </w:r>
      <w:r>
        <w:rPr>
          <w:rFonts w:ascii="Arial" w:eastAsia="Calibri" w:hAnsi="Arial" w:cs="Arial"/>
          <w:spacing w:val="-1"/>
          <w:sz w:val="17"/>
          <w:szCs w:val="17"/>
        </w:rPr>
        <w:t xml:space="preserve">eño fiscal robusto, un nivel de </w:t>
      </w:r>
      <w:r w:rsidRPr="00FE7D91">
        <w:rPr>
          <w:rFonts w:ascii="Arial" w:eastAsia="Calibri" w:hAnsi="Arial" w:cs="Arial"/>
          <w:spacing w:val="-1"/>
          <w:sz w:val="17"/>
          <w:szCs w:val="17"/>
        </w:rPr>
        <w:t>deuda decreciente, y la acumulación de reservas en efectivo. No obst</w:t>
      </w:r>
      <w:r>
        <w:rPr>
          <w:rFonts w:ascii="Arial" w:eastAsia="Calibri" w:hAnsi="Arial" w:cs="Arial"/>
          <w:spacing w:val="-1"/>
          <w:sz w:val="17"/>
          <w:szCs w:val="17"/>
        </w:rPr>
        <w:t xml:space="preserve">ante, el marco institucional en </w:t>
      </w:r>
      <w:r w:rsidRPr="00FE7D91">
        <w:rPr>
          <w:rFonts w:ascii="Arial" w:eastAsia="Calibri" w:hAnsi="Arial" w:cs="Arial"/>
          <w:spacing w:val="-1"/>
          <w:sz w:val="17"/>
          <w:szCs w:val="17"/>
        </w:rPr>
        <w:t>evolución y desbalanceado en el que operan los estados en Méx</w:t>
      </w:r>
      <w:r>
        <w:rPr>
          <w:rFonts w:ascii="Arial" w:eastAsia="Calibri" w:hAnsi="Arial" w:cs="Arial"/>
          <w:spacing w:val="-1"/>
          <w:sz w:val="17"/>
          <w:szCs w:val="17"/>
        </w:rPr>
        <w:t xml:space="preserve">ico y su producto interno bruto </w:t>
      </w:r>
      <w:r w:rsidRPr="00FE7D91">
        <w:rPr>
          <w:rFonts w:ascii="Arial" w:eastAsia="Calibri" w:hAnsi="Arial" w:cs="Arial"/>
          <w:spacing w:val="-1"/>
          <w:sz w:val="17"/>
          <w:szCs w:val="17"/>
        </w:rPr>
        <w:t>(PIB) per cápita, que es menor que el de sus pares a nivel mund</w:t>
      </w:r>
      <w:r>
        <w:rPr>
          <w:rFonts w:ascii="Arial" w:eastAsia="Calibri" w:hAnsi="Arial" w:cs="Arial"/>
          <w:spacing w:val="-1"/>
          <w:sz w:val="17"/>
          <w:szCs w:val="17"/>
        </w:rPr>
        <w:t xml:space="preserve">ial, continúa pesando sobre las </w:t>
      </w:r>
      <w:r w:rsidRPr="00FE7D91">
        <w:rPr>
          <w:rFonts w:ascii="Arial" w:eastAsia="Calibri" w:hAnsi="Arial" w:cs="Arial"/>
          <w:spacing w:val="-1"/>
          <w:sz w:val="17"/>
          <w:szCs w:val="17"/>
        </w:rPr>
        <w:t>calificaciones.</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 economía creciente y la prudente</w:t>
      </w:r>
      <w:r>
        <w:rPr>
          <w:rFonts w:ascii="Arial" w:eastAsia="Calibri" w:hAnsi="Arial" w:cs="Arial"/>
          <w:spacing w:val="-1"/>
          <w:sz w:val="17"/>
          <w:szCs w:val="17"/>
        </w:rPr>
        <w:t xml:space="preserve"> y experimentada administración </w:t>
      </w:r>
      <w:r w:rsidRPr="00FE7D91">
        <w:rPr>
          <w:rFonts w:ascii="Arial" w:eastAsia="Calibri" w:hAnsi="Arial" w:cs="Arial"/>
          <w:spacing w:val="-1"/>
          <w:sz w:val="17"/>
          <w:szCs w:val="17"/>
        </w:rPr>
        <w:t>mitigan el marco institucional en evolución y desbalanceado</w:t>
      </w:r>
      <w:r w:rsidR="00301F9D">
        <w:rPr>
          <w:rFonts w:ascii="Arial" w:eastAsia="Calibri" w:hAnsi="Arial" w:cs="Arial"/>
          <w:spacing w:val="-1"/>
          <w:sz w:val="17"/>
          <w:szCs w:val="17"/>
        </w:rPr>
        <w:t>.</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 administración (PAN; 2015-2021) de Querétaro se ha comprometido a mantener políticas</w:t>
      </w:r>
      <w:r>
        <w:rPr>
          <w:rFonts w:ascii="Arial" w:eastAsia="Calibri" w:hAnsi="Arial" w:cs="Arial"/>
          <w:spacing w:val="-1"/>
          <w:sz w:val="17"/>
          <w:szCs w:val="17"/>
        </w:rPr>
        <w:t xml:space="preserve"> </w:t>
      </w:r>
      <w:r w:rsidRPr="00FE7D91">
        <w:rPr>
          <w:rFonts w:ascii="Arial" w:eastAsia="Calibri" w:hAnsi="Arial" w:cs="Arial"/>
          <w:spacing w:val="-1"/>
          <w:sz w:val="17"/>
          <w:szCs w:val="17"/>
        </w:rPr>
        <w:t>fiscales prudentes, lo que debería mitigar la reducción a las transf</w:t>
      </w:r>
      <w:r>
        <w:rPr>
          <w:rFonts w:ascii="Arial" w:eastAsia="Calibri" w:hAnsi="Arial" w:cs="Arial"/>
          <w:spacing w:val="-1"/>
          <w:sz w:val="17"/>
          <w:szCs w:val="17"/>
        </w:rPr>
        <w:t xml:space="preserve">erencias del gobierno federal y </w:t>
      </w:r>
      <w:r w:rsidRPr="00FE7D91">
        <w:rPr>
          <w:rFonts w:ascii="Arial" w:eastAsia="Calibri" w:hAnsi="Arial" w:cs="Arial"/>
          <w:spacing w:val="-1"/>
          <w:sz w:val="17"/>
          <w:szCs w:val="17"/>
        </w:rPr>
        <w:t>preservar su sólido desempeño fiscal. El Estado se beneficia de un</w:t>
      </w:r>
      <w:r>
        <w:rPr>
          <w:rFonts w:ascii="Arial" w:eastAsia="Calibri" w:hAnsi="Arial" w:cs="Arial"/>
          <w:spacing w:val="-1"/>
          <w:sz w:val="17"/>
          <w:szCs w:val="17"/>
        </w:rPr>
        <w:t xml:space="preserve">a administración financiera con </w:t>
      </w:r>
      <w:r w:rsidRPr="00FE7D91">
        <w:rPr>
          <w:rFonts w:ascii="Arial" w:eastAsia="Calibri" w:hAnsi="Arial" w:cs="Arial"/>
          <w:spacing w:val="-1"/>
          <w:sz w:val="17"/>
          <w:szCs w:val="17"/>
        </w:rPr>
        <w:t>experiencia, con un historial de una eficiente gestión de ingreso</w:t>
      </w:r>
      <w:r>
        <w:rPr>
          <w:rFonts w:ascii="Arial" w:eastAsia="Calibri" w:hAnsi="Arial" w:cs="Arial"/>
          <w:spacing w:val="-1"/>
          <w:sz w:val="17"/>
          <w:szCs w:val="17"/>
        </w:rPr>
        <w:t xml:space="preserve">s y </w:t>
      </w:r>
      <w:r>
        <w:rPr>
          <w:rFonts w:ascii="Arial" w:eastAsia="Calibri" w:hAnsi="Arial" w:cs="Arial"/>
          <w:spacing w:val="-1"/>
          <w:sz w:val="17"/>
          <w:szCs w:val="17"/>
        </w:rPr>
        <w:lastRenderedPageBreak/>
        <w:t xml:space="preserve">gastos, y la capacidad para </w:t>
      </w:r>
      <w:r w:rsidRPr="00FE7D91">
        <w:rPr>
          <w:rFonts w:ascii="Arial" w:eastAsia="Calibri" w:hAnsi="Arial" w:cs="Arial"/>
          <w:spacing w:val="-1"/>
          <w:sz w:val="17"/>
          <w:szCs w:val="17"/>
        </w:rPr>
        <w:t>implementar medidas correctivas. Al mismo tiempo, ha mostrado volunta</w:t>
      </w:r>
      <w:r>
        <w:rPr>
          <w:rFonts w:ascii="Arial" w:eastAsia="Calibri" w:hAnsi="Arial" w:cs="Arial"/>
          <w:spacing w:val="-1"/>
          <w:sz w:val="17"/>
          <w:szCs w:val="17"/>
        </w:rPr>
        <w:t xml:space="preserve">d para abordar cuestiones </w:t>
      </w:r>
      <w:r w:rsidRPr="00FE7D91">
        <w:rPr>
          <w:rFonts w:ascii="Arial" w:eastAsia="Calibri" w:hAnsi="Arial" w:cs="Arial"/>
          <w:spacing w:val="-1"/>
          <w:sz w:val="17"/>
          <w:szCs w:val="17"/>
        </w:rPr>
        <w:t>estructurales como la carga por las pensiones, al aprobar una re</w:t>
      </w:r>
      <w:r>
        <w:rPr>
          <w:rFonts w:ascii="Arial" w:eastAsia="Calibri" w:hAnsi="Arial" w:cs="Arial"/>
          <w:spacing w:val="-1"/>
          <w:sz w:val="17"/>
          <w:szCs w:val="17"/>
        </w:rPr>
        <w:t xml:space="preserve">forma de pensiones poco después </w:t>
      </w:r>
      <w:r w:rsidRPr="00FE7D91">
        <w:rPr>
          <w:rFonts w:ascii="Arial" w:eastAsia="Calibri" w:hAnsi="Arial" w:cs="Arial"/>
          <w:spacing w:val="-1"/>
          <w:sz w:val="17"/>
          <w:szCs w:val="17"/>
        </w:rPr>
        <w:t>de asumir el cargo.</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Las políticas del Estado abarcan un marco de mediano a largo pla</w:t>
      </w:r>
      <w:r>
        <w:rPr>
          <w:rFonts w:ascii="Arial" w:eastAsia="Calibri" w:hAnsi="Arial" w:cs="Arial"/>
          <w:spacing w:val="-1"/>
          <w:sz w:val="17"/>
          <w:szCs w:val="17"/>
        </w:rPr>
        <w:t xml:space="preserve">zo. Querétaro ha establecido un </w:t>
      </w:r>
      <w:r w:rsidRPr="00FE7D91">
        <w:rPr>
          <w:rFonts w:ascii="Arial" w:eastAsia="Calibri" w:hAnsi="Arial" w:cs="Arial"/>
          <w:spacing w:val="-1"/>
          <w:sz w:val="17"/>
          <w:szCs w:val="17"/>
        </w:rPr>
        <w:t xml:space="preserve">modelo de crecimiento denominado "Triple Hélice", en </w:t>
      </w:r>
      <w:r>
        <w:rPr>
          <w:rFonts w:ascii="Arial" w:eastAsia="Calibri" w:hAnsi="Arial" w:cs="Arial"/>
          <w:spacing w:val="-1"/>
          <w:sz w:val="17"/>
          <w:szCs w:val="17"/>
        </w:rPr>
        <w:t xml:space="preserve">el cual el gobierno del Estado, </w:t>
      </w:r>
      <w:r w:rsidRPr="00FE7D91">
        <w:rPr>
          <w:rFonts w:ascii="Arial" w:eastAsia="Calibri" w:hAnsi="Arial" w:cs="Arial"/>
          <w:spacing w:val="-1"/>
          <w:sz w:val="17"/>
          <w:szCs w:val="17"/>
        </w:rPr>
        <w:t xml:space="preserve">representantes académicos y de la industria diseñan en conjunto </w:t>
      </w:r>
      <w:r>
        <w:rPr>
          <w:rFonts w:ascii="Arial" w:eastAsia="Calibri" w:hAnsi="Arial" w:cs="Arial"/>
          <w:spacing w:val="-1"/>
          <w:sz w:val="17"/>
          <w:szCs w:val="17"/>
        </w:rPr>
        <w:t xml:space="preserve">la estrategia de desarrollo. La </w:t>
      </w:r>
      <w:r w:rsidRPr="00FE7D91">
        <w:rPr>
          <w:rFonts w:ascii="Arial" w:eastAsia="Calibri" w:hAnsi="Arial" w:cs="Arial"/>
          <w:spacing w:val="-1"/>
          <w:sz w:val="17"/>
          <w:szCs w:val="17"/>
        </w:rPr>
        <w:t>política ha tenido éxito en los últimos años al atraer inversión al sector manufacturero, así</w:t>
      </w:r>
      <w:r>
        <w:rPr>
          <w:rFonts w:ascii="Arial" w:eastAsia="Calibri" w:hAnsi="Arial" w:cs="Arial"/>
          <w:spacing w:val="-1"/>
          <w:sz w:val="17"/>
          <w:szCs w:val="17"/>
        </w:rPr>
        <w:t xml:space="preserve"> como a </w:t>
      </w:r>
      <w:r w:rsidRPr="00FE7D91">
        <w:rPr>
          <w:rFonts w:ascii="Arial" w:eastAsia="Calibri" w:hAnsi="Arial" w:cs="Arial"/>
          <w:spacing w:val="-1"/>
          <w:sz w:val="17"/>
          <w:szCs w:val="17"/>
        </w:rPr>
        <w:t>los servicios y economía del conocimiento. En este sentido, espera</w:t>
      </w:r>
      <w:r>
        <w:rPr>
          <w:rFonts w:ascii="Arial" w:eastAsia="Calibri" w:hAnsi="Arial" w:cs="Arial"/>
          <w:spacing w:val="-1"/>
          <w:sz w:val="17"/>
          <w:szCs w:val="17"/>
        </w:rPr>
        <w:t xml:space="preserve">mos un crecimiento sostenido en </w:t>
      </w:r>
      <w:r w:rsidRPr="00FE7D91">
        <w:rPr>
          <w:rFonts w:ascii="Arial" w:eastAsia="Calibri" w:hAnsi="Arial" w:cs="Arial"/>
          <w:spacing w:val="-1"/>
          <w:sz w:val="17"/>
          <w:szCs w:val="17"/>
        </w:rPr>
        <w:t>la economía del Estado, a pesar de la caída de la confianz</w:t>
      </w:r>
      <w:r>
        <w:rPr>
          <w:rFonts w:ascii="Arial" w:eastAsia="Calibri" w:hAnsi="Arial" w:cs="Arial"/>
          <w:spacing w:val="-1"/>
          <w:sz w:val="17"/>
          <w:szCs w:val="17"/>
        </w:rPr>
        <w:t xml:space="preserve">a del sector privado en México. </w:t>
      </w:r>
      <w:r w:rsidRPr="00FE7D91">
        <w:rPr>
          <w:rFonts w:ascii="Arial" w:eastAsia="Calibri" w:hAnsi="Arial" w:cs="Arial"/>
          <w:spacing w:val="-1"/>
          <w:sz w:val="17"/>
          <w:szCs w:val="17"/>
        </w:rPr>
        <w:t>Estimamos que el PIB per cápita del Estado será de US$13,072</w:t>
      </w:r>
      <w:r>
        <w:rPr>
          <w:rFonts w:ascii="Arial" w:eastAsia="Calibri" w:hAnsi="Arial" w:cs="Arial"/>
          <w:spacing w:val="-1"/>
          <w:sz w:val="17"/>
          <w:szCs w:val="17"/>
        </w:rPr>
        <w:t xml:space="preserve"> en 2019, mayor al promedio </w:t>
      </w:r>
      <w:r w:rsidRPr="00FE7D91">
        <w:rPr>
          <w:rFonts w:ascii="Arial" w:eastAsia="Calibri" w:hAnsi="Arial" w:cs="Arial"/>
          <w:spacing w:val="-1"/>
          <w:sz w:val="17"/>
          <w:szCs w:val="17"/>
        </w:rPr>
        <w:t>nacional de US$10,041.</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 xml:space="preserve">Al igual que el resto de los estados mexicanos, Querétaro opera </w:t>
      </w:r>
      <w:r>
        <w:rPr>
          <w:rFonts w:ascii="Arial" w:eastAsia="Calibri" w:hAnsi="Arial" w:cs="Arial"/>
          <w:spacing w:val="-1"/>
          <w:sz w:val="17"/>
          <w:szCs w:val="17"/>
        </w:rPr>
        <w:t xml:space="preserve">bajo un marco institucional que </w:t>
      </w:r>
      <w:r w:rsidRPr="00FE7D91">
        <w:rPr>
          <w:rFonts w:ascii="Arial" w:eastAsia="Calibri" w:hAnsi="Arial" w:cs="Arial"/>
          <w:spacing w:val="-1"/>
          <w:sz w:val="17"/>
          <w:szCs w:val="17"/>
        </w:rPr>
        <w:t>consideramos en evolución y desbalanceado. En nuestra opinión, la</w:t>
      </w:r>
      <w:r>
        <w:rPr>
          <w:rFonts w:ascii="Arial" w:eastAsia="Calibri" w:hAnsi="Arial" w:cs="Arial"/>
          <w:spacing w:val="-1"/>
          <w:sz w:val="17"/>
          <w:szCs w:val="17"/>
        </w:rPr>
        <w:t xml:space="preserve"> previsibilidad del sistema, el </w:t>
      </w:r>
      <w:r w:rsidRPr="00FE7D91">
        <w:rPr>
          <w:rFonts w:ascii="Arial" w:eastAsia="Calibri" w:hAnsi="Arial" w:cs="Arial"/>
          <w:spacing w:val="-1"/>
          <w:sz w:val="17"/>
          <w:szCs w:val="17"/>
        </w:rPr>
        <w:t>balance general de ingresos y gastos, la transparencia, la rendici</w:t>
      </w:r>
      <w:r>
        <w:rPr>
          <w:rFonts w:ascii="Arial" w:eastAsia="Calibri" w:hAnsi="Arial" w:cs="Arial"/>
          <w:spacing w:val="-1"/>
          <w:sz w:val="17"/>
          <w:szCs w:val="17"/>
        </w:rPr>
        <w:t xml:space="preserve">ón de cuentas y el respaldo del </w:t>
      </w:r>
      <w:r w:rsidRPr="00FE7D91">
        <w:rPr>
          <w:rFonts w:ascii="Arial" w:eastAsia="Calibri" w:hAnsi="Arial" w:cs="Arial"/>
          <w:spacing w:val="-1"/>
          <w:sz w:val="17"/>
          <w:szCs w:val="17"/>
        </w:rPr>
        <w:t>sistema reflejan que existe margen de mejora adicional, y actual</w:t>
      </w:r>
      <w:r>
        <w:rPr>
          <w:rFonts w:ascii="Arial" w:eastAsia="Calibri" w:hAnsi="Arial" w:cs="Arial"/>
          <w:spacing w:val="-1"/>
          <w:sz w:val="17"/>
          <w:szCs w:val="17"/>
        </w:rPr>
        <w:t xml:space="preserve">mente representan un obstáculo, </w:t>
      </w:r>
      <w:r w:rsidRPr="00FE7D91">
        <w:rPr>
          <w:rFonts w:ascii="Arial" w:eastAsia="Calibri" w:hAnsi="Arial" w:cs="Arial"/>
          <w:spacing w:val="-1"/>
          <w:sz w:val="17"/>
          <w:szCs w:val="17"/>
        </w:rPr>
        <w:t>que comparten los estados mexicanos, para las calificaciones.</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Las políticas de gasto prudente</w:t>
      </w:r>
      <w:r>
        <w:rPr>
          <w:rFonts w:ascii="Arial" w:eastAsia="Calibri" w:hAnsi="Arial" w:cs="Arial"/>
          <w:spacing w:val="-1"/>
          <w:sz w:val="17"/>
          <w:szCs w:val="17"/>
        </w:rPr>
        <w:t xml:space="preserve"> deberían mantener un desempeño </w:t>
      </w:r>
      <w:r w:rsidRPr="00FE7D91">
        <w:rPr>
          <w:rFonts w:ascii="Arial" w:eastAsia="Calibri" w:hAnsi="Arial" w:cs="Arial"/>
          <w:spacing w:val="-1"/>
          <w:sz w:val="17"/>
          <w:szCs w:val="17"/>
        </w:rPr>
        <w:t>fiscal sólido, a pesar de las menores transferencias federales</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Esperamos que Querétaro presente superávits operativos de 4.4</w:t>
      </w:r>
      <w:r>
        <w:rPr>
          <w:rFonts w:ascii="Arial" w:eastAsia="Calibri" w:hAnsi="Arial" w:cs="Arial"/>
          <w:spacing w:val="-1"/>
          <w:sz w:val="17"/>
          <w:szCs w:val="17"/>
        </w:rPr>
        <w:t xml:space="preserve">% de los ingresos operativos en </w:t>
      </w:r>
      <w:r w:rsidRPr="00FE7D91">
        <w:rPr>
          <w:rFonts w:ascii="Arial" w:eastAsia="Calibri" w:hAnsi="Arial" w:cs="Arial"/>
          <w:spacing w:val="-1"/>
          <w:sz w:val="17"/>
          <w:szCs w:val="17"/>
        </w:rPr>
        <w:t>promedio durante 2019-2021; una disminución con respecto a 6.3</w:t>
      </w:r>
      <w:r>
        <w:rPr>
          <w:rFonts w:ascii="Arial" w:eastAsia="Calibri" w:hAnsi="Arial" w:cs="Arial"/>
          <w:spacing w:val="-1"/>
          <w:sz w:val="17"/>
          <w:szCs w:val="17"/>
        </w:rPr>
        <w:t xml:space="preserve">% registrado en 2015-2018. Esto </w:t>
      </w:r>
      <w:r w:rsidRPr="00FE7D91">
        <w:rPr>
          <w:rFonts w:ascii="Arial" w:eastAsia="Calibri" w:hAnsi="Arial" w:cs="Arial"/>
          <w:spacing w:val="-1"/>
          <w:sz w:val="17"/>
          <w:szCs w:val="17"/>
        </w:rPr>
        <w:t>se deriva principalmente de la reducción en las transferencias no automáticas del gobierno federal.</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Similar al resto de los estados mexicanos, más de 80% de los ingresos de Querétaro están</w:t>
      </w:r>
      <w:r>
        <w:rPr>
          <w:rFonts w:ascii="Arial" w:eastAsia="Calibri" w:hAnsi="Arial" w:cs="Arial"/>
          <w:spacing w:val="-1"/>
          <w:sz w:val="17"/>
          <w:szCs w:val="17"/>
        </w:rPr>
        <w:t xml:space="preserve"> </w:t>
      </w:r>
      <w:r w:rsidRPr="00FE7D91">
        <w:rPr>
          <w:rFonts w:ascii="Arial" w:eastAsia="Calibri" w:hAnsi="Arial" w:cs="Arial"/>
          <w:spacing w:val="-1"/>
          <w:sz w:val="17"/>
          <w:szCs w:val="17"/>
        </w:rPr>
        <w:t>relacionados con las transferencias federales, lo que limita la fle</w:t>
      </w:r>
      <w:r>
        <w:rPr>
          <w:rFonts w:ascii="Arial" w:eastAsia="Calibri" w:hAnsi="Arial" w:cs="Arial"/>
          <w:spacing w:val="-1"/>
          <w:sz w:val="17"/>
          <w:szCs w:val="17"/>
        </w:rPr>
        <w:t xml:space="preserve">xibilidad de su presupuesto. No </w:t>
      </w:r>
      <w:r w:rsidRPr="00FE7D91">
        <w:rPr>
          <w:rFonts w:ascii="Arial" w:eastAsia="Calibri" w:hAnsi="Arial" w:cs="Arial"/>
          <w:spacing w:val="-1"/>
          <w:sz w:val="17"/>
          <w:szCs w:val="17"/>
        </w:rPr>
        <w:t>obstante, Querétaro implementa activas políticas de ingresos para hacer que la recaudación fiscal</w:t>
      </w:r>
      <w:r>
        <w:rPr>
          <w:rFonts w:ascii="Arial" w:eastAsia="Calibri" w:hAnsi="Arial" w:cs="Arial"/>
          <w:spacing w:val="-1"/>
          <w:sz w:val="17"/>
          <w:szCs w:val="17"/>
        </w:rPr>
        <w:t xml:space="preserve"> </w:t>
      </w:r>
      <w:r w:rsidRPr="00FE7D91">
        <w:rPr>
          <w:rFonts w:ascii="Arial" w:eastAsia="Calibri" w:hAnsi="Arial" w:cs="Arial"/>
          <w:spacing w:val="-1"/>
          <w:sz w:val="17"/>
          <w:szCs w:val="17"/>
        </w:rPr>
        <w:t>sea más eficiente.</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Asimismo, los prudentes controles de gastos y los límites al crecim</w:t>
      </w:r>
      <w:r>
        <w:rPr>
          <w:rFonts w:ascii="Arial" w:eastAsia="Calibri" w:hAnsi="Arial" w:cs="Arial"/>
          <w:spacing w:val="-1"/>
          <w:sz w:val="17"/>
          <w:szCs w:val="17"/>
        </w:rPr>
        <w:t xml:space="preserve">iento del gasto en personal que </w:t>
      </w:r>
      <w:r w:rsidRPr="00FE7D91">
        <w:rPr>
          <w:rFonts w:ascii="Arial" w:eastAsia="Calibri" w:hAnsi="Arial" w:cs="Arial"/>
          <w:spacing w:val="-1"/>
          <w:sz w:val="17"/>
          <w:szCs w:val="17"/>
        </w:rPr>
        <w:t>establece la Ley de Disciplina Fiscal deberían mantener bajo co</w:t>
      </w:r>
      <w:r>
        <w:rPr>
          <w:rFonts w:ascii="Arial" w:eastAsia="Calibri" w:hAnsi="Arial" w:cs="Arial"/>
          <w:spacing w:val="-1"/>
          <w:sz w:val="17"/>
          <w:szCs w:val="17"/>
        </w:rPr>
        <w:t xml:space="preserve">ntrol los gastos operativos del </w:t>
      </w:r>
      <w:r w:rsidRPr="00FE7D91">
        <w:rPr>
          <w:rFonts w:ascii="Arial" w:eastAsia="Calibri" w:hAnsi="Arial" w:cs="Arial"/>
          <w:spacing w:val="-1"/>
          <w:sz w:val="17"/>
          <w:szCs w:val="17"/>
        </w:rPr>
        <w:t>Estado. La ejecución de proyectos de infraestructura en los primeros</w:t>
      </w:r>
      <w:r>
        <w:rPr>
          <w:rFonts w:ascii="Arial" w:eastAsia="Calibri" w:hAnsi="Arial" w:cs="Arial"/>
          <w:spacing w:val="-1"/>
          <w:sz w:val="17"/>
          <w:szCs w:val="17"/>
        </w:rPr>
        <w:t xml:space="preserve"> tres años de la administración </w:t>
      </w:r>
      <w:r w:rsidRPr="00FE7D91">
        <w:rPr>
          <w:rFonts w:ascii="Arial" w:eastAsia="Calibri" w:hAnsi="Arial" w:cs="Arial"/>
          <w:spacing w:val="-1"/>
          <w:sz w:val="17"/>
          <w:szCs w:val="17"/>
        </w:rPr>
        <w:t xml:space="preserve">ha sido baja, lo que se ha traducido en la acumulación </w:t>
      </w:r>
      <w:r>
        <w:rPr>
          <w:rFonts w:ascii="Arial" w:eastAsia="Calibri" w:hAnsi="Arial" w:cs="Arial"/>
          <w:spacing w:val="-1"/>
          <w:sz w:val="17"/>
          <w:szCs w:val="17"/>
        </w:rPr>
        <w:t xml:space="preserve">de reservas en efectivo que son </w:t>
      </w:r>
      <w:r w:rsidRPr="00FE7D91">
        <w:rPr>
          <w:rFonts w:ascii="Arial" w:eastAsia="Calibri" w:hAnsi="Arial" w:cs="Arial"/>
          <w:spacing w:val="-1"/>
          <w:sz w:val="17"/>
          <w:szCs w:val="17"/>
        </w:rPr>
        <w:t>equivalentes a 17% del presupuesto anual de Querétaro. En nu</w:t>
      </w:r>
      <w:r>
        <w:rPr>
          <w:rFonts w:ascii="Arial" w:eastAsia="Calibri" w:hAnsi="Arial" w:cs="Arial"/>
          <w:spacing w:val="-1"/>
          <w:sz w:val="17"/>
          <w:szCs w:val="17"/>
        </w:rPr>
        <w:t xml:space="preserve">estro escenario base, esperamos </w:t>
      </w:r>
      <w:r w:rsidRPr="00FE7D91">
        <w:rPr>
          <w:rFonts w:ascii="Arial" w:eastAsia="Calibri" w:hAnsi="Arial" w:cs="Arial"/>
          <w:spacing w:val="-1"/>
          <w:sz w:val="17"/>
          <w:szCs w:val="17"/>
        </w:rPr>
        <w:t>que las obras públicas se aceleren en los últimos años de la a</w:t>
      </w:r>
      <w:r>
        <w:rPr>
          <w:rFonts w:ascii="Arial" w:eastAsia="Calibri" w:hAnsi="Arial" w:cs="Arial"/>
          <w:spacing w:val="-1"/>
          <w:sz w:val="17"/>
          <w:szCs w:val="17"/>
        </w:rPr>
        <w:t xml:space="preserve">dministración, ya que el Estado </w:t>
      </w:r>
      <w:r w:rsidRPr="00FE7D91">
        <w:rPr>
          <w:rFonts w:ascii="Arial" w:eastAsia="Calibri" w:hAnsi="Arial" w:cs="Arial"/>
          <w:spacing w:val="-1"/>
          <w:sz w:val="17"/>
          <w:szCs w:val="17"/>
        </w:rPr>
        <w:t>concluirá con los proyectos iniciados. Las obras públicas abarc</w:t>
      </w:r>
      <w:r>
        <w:rPr>
          <w:rFonts w:ascii="Arial" w:eastAsia="Calibri" w:hAnsi="Arial" w:cs="Arial"/>
          <w:spacing w:val="-1"/>
          <w:sz w:val="17"/>
          <w:szCs w:val="17"/>
        </w:rPr>
        <w:t xml:space="preserve">arán principalmente autopistas, </w:t>
      </w:r>
      <w:r w:rsidRPr="00FE7D91">
        <w:rPr>
          <w:rFonts w:ascii="Arial" w:eastAsia="Calibri" w:hAnsi="Arial" w:cs="Arial"/>
          <w:spacing w:val="-1"/>
          <w:sz w:val="17"/>
          <w:szCs w:val="17"/>
        </w:rPr>
        <w:t>transporte público e infraestructura para educación y salud. C</w:t>
      </w:r>
      <w:r>
        <w:rPr>
          <w:rFonts w:ascii="Arial" w:eastAsia="Calibri" w:hAnsi="Arial" w:cs="Arial"/>
          <w:spacing w:val="-1"/>
          <w:sz w:val="17"/>
          <w:szCs w:val="17"/>
        </w:rPr>
        <w:t xml:space="preserve">on estos supuestos, proyectamos </w:t>
      </w:r>
      <w:r w:rsidRPr="00FE7D91">
        <w:rPr>
          <w:rFonts w:ascii="Arial" w:eastAsia="Calibri" w:hAnsi="Arial" w:cs="Arial"/>
          <w:spacing w:val="-1"/>
          <w:sz w:val="17"/>
          <w:szCs w:val="17"/>
        </w:rPr>
        <w:t>déficits después de gasto de capital menores a 2% del total de s</w:t>
      </w:r>
      <w:r>
        <w:rPr>
          <w:rFonts w:ascii="Arial" w:eastAsia="Calibri" w:hAnsi="Arial" w:cs="Arial"/>
          <w:spacing w:val="-1"/>
          <w:sz w:val="17"/>
          <w:szCs w:val="17"/>
        </w:rPr>
        <w:t xml:space="preserve">us ingresos. Además, de acuerdo </w:t>
      </w:r>
      <w:r w:rsidRPr="00FE7D91">
        <w:rPr>
          <w:rFonts w:ascii="Arial" w:eastAsia="Calibri" w:hAnsi="Arial" w:cs="Arial"/>
          <w:spacing w:val="-1"/>
          <w:sz w:val="17"/>
          <w:szCs w:val="17"/>
        </w:rPr>
        <w:t>con nuestros criterios actualizados, ahora consideramos cómo pod</w:t>
      </w:r>
      <w:r>
        <w:rPr>
          <w:rFonts w:ascii="Arial" w:eastAsia="Calibri" w:hAnsi="Arial" w:cs="Arial"/>
          <w:spacing w:val="-1"/>
          <w:sz w:val="17"/>
          <w:szCs w:val="17"/>
        </w:rPr>
        <w:t xml:space="preserve">rían presionar las pensiones no </w:t>
      </w:r>
      <w:r w:rsidRPr="00FE7D91">
        <w:rPr>
          <w:rFonts w:ascii="Arial" w:eastAsia="Calibri" w:hAnsi="Arial" w:cs="Arial"/>
          <w:spacing w:val="-1"/>
          <w:sz w:val="17"/>
          <w:szCs w:val="17"/>
        </w:rPr>
        <w:t>fondeadas la posición presupuestal de los gobiernos locales y regionales (GL</w:t>
      </w:r>
      <w:r>
        <w:rPr>
          <w:rFonts w:ascii="Arial" w:eastAsia="Calibri" w:hAnsi="Arial" w:cs="Arial"/>
          <w:spacing w:val="-1"/>
          <w:sz w:val="17"/>
          <w:szCs w:val="17"/>
        </w:rPr>
        <w:t xml:space="preserve">R) más que en su </w:t>
      </w:r>
      <w:r w:rsidRPr="00FE7D91">
        <w:rPr>
          <w:rFonts w:ascii="Arial" w:eastAsia="Calibri" w:hAnsi="Arial" w:cs="Arial"/>
          <w:spacing w:val="-1"/>
          <w:sz w:val="17"/>
          <w:szCs w:val="17"/>
        </w:rPr>
        <w:t>perfil de deuda. Consideramos que la reforma de pensiones qu</w:t>
      </w:r>
      <w:r>
        <w:rPr>
          <w:rFonts w:ascii="Arial" w:eastAsia="Calibri" w:hAnsi="Arial" w:cs="Arial"/>
          <w:spacing w:val="-1"/>
          <w:sz w:val="17"/>
          <w:szCs w:val="17"/>
        </w:rPr>
        <w:t xml:space="preserve">e Querétaro aprobó en 2015 tuvo </w:t>
      </w:r>
      <w:r w:rsidRPr="00FE7D91">
        <w:rPr>
          <w:rFonts w:ascii="Arial" w:eastAsia="Calibri" w:hAnsi="Arial" w:cs="Arial"/>
          <w:spacing w:val="-1"/>
          <w:sz w:val="17"/>
          <w:szCs w:val="17"/>
        </w:rPr>
        <w:t>éxito en estabilizar los costos de las pensiones incluso sin haber est</w:t>
      </w:r>
      <w:r>
        <w:rPr>
          <w:rFonts w:ascii="Arial" w:eastAsia="Calibri" w:hAnsi="Arial" w:cs="Arial"/>
          <w:spacing w:val="-1"/>
          <w:sz w:val="17"/>
          <w:szCs w:val="17"/>
        </w:rPr>
        <w:t xml:space="preserve">ablecido aportaciones formales. </w:t>
      </w:r>
      <w:r w:rsidRPr="00FE7D91">
        <w:rPr>
          <w:rFonts w:ascii="Arial" w:eastAsia="Calibri" w:hAnsi="Arial" w:cs="Arial"/>
          <w:spacing w:val="-1"/>
          <w:sz w:val="17"/>
          <w:szCs w:val="17"/>
        </w:rPr>
        <w:t xml:space="preserve">Los costos relacionados con las pensiones representarán menos </w:t>
      </w:r>
      <w:r>
        <w:rPr>
          <w:rFonts w:ascii="Arial" w:eastAsia="Calibri" w:hAnsi="Arial" w:cs="Arial"/>
          <w:spacing w:val="-1"/>
          <w:sz w:val="17"/>
          <w:szCs w:val="17"/>
        </w:rPr>
        <w:t xml:space="preserve">de 2% del presupuesto anual del </w:t>
      </w:r>
      <w:r w:rsidRPr="00FE7D91">
        <w:rPr>
          <w:rFonts w:ascii="Arial" w:eastAsia="Calibri" w:hAnsi="Arial" w:cs="Arial"/>
          <w:spacing w:val="-1"/>
          <w:sz w:val="17"/>
          <w:szCs w:val="17"/>
        </w:rPr>
        <w:t>Estado en los próximos diez años.</w:t>
      </w:r>
    </w:p>
    <w:p w:rsidR="00FE7D91" w:rsidRP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Actualmente, Querétaro no planea emitir deuda nueva. La actual a</w:t>
      </w:r>
      <w:r>
        <w:rPr>
          <w:rFonts w:ascii="Arial" w:eastAsia="Calibri" w:hAnsi="Arial" w:cs="Arial"/>
          <w:spacing w:val="-1"/>
          <w:sz w:val="17"/>
          <w:szCs w:val="17"/>
        </w:rPr>
        <w:t xml:space="preserve">dministración busca terminar su </w:t>
      </w:r>
      <w:r w:rsidRPr="00FE7D91">
        <w:rPr>
          <w:rFonts w:ascii="Arial" w:eastAsia="Calibri" w:hAnsi="Arial" w:cs="Arial"/>
          <w:spacing w:val="-1"/>
          <w:sz w:val="17"/>
          <w:szCs w:val="17"/>
        </w:rPr>
        <w:t>mandato sin deuda mediante la realización de pagos de amortización anticipada</w:t>
      </w:r>
      <w:r>
        <w:rPr>
          <w:rFonts w:ascii="Arial" w:eastAsia="Calibri" w:hAnsi="Arial" w:cs="Arial"/>
          <w:spacing w:val="-1"/>
          <w:sz w:val="17"/>
          <w:szCs w:val="17"/>
        </w:rPr>
        <w:t xml:space="preserve"> en 2019 y 2021. A </w:t>
      </w:r>
      <w:r w:rsidRPr="00FE7D91">
        <w:rPr>
          <w:rFonts w:ascii="Arial" w:eastAsia="Calibri" w:hAnsi="Arial" w:cs="Arial"/>
          <w:spacing w:val="-1"/>
          <w:sz w:val="17"/>
          <w:szCs w:val="17"/>
        </w:rPr>
        <w:t>junio de 2019, la deuda de Querétaro era de $411 millones de pesos mexicanos (MXN), la cual</w:t>
      </w:r>
      <w:r>
        <w:rPr>
          <w:rFonts w:ascii="Arial" w:eastAsia="Calibri" w:hAnsi="Arial" w:cs="Arial"/>
          <w:spacing w:val="-1"/>
          <w:sz w:val="17"/>
          <w:szCs w:val="17"/>
        </w:rPr>
        <w:t xml:space="preserve"> </w:t>
      </w:r>
      <w:r w:rsidRPr="00FE7D91">
        <w:rPr>
          <w:rFonts w:ascii="Arial" w:eastAsia="Calibri" w:hAnsi="Arial" w:cs="Arial"/>
          <w:spacing w:val="-1"/>
          <w:sz w:val="17"/>
          <w:szCs w:val="17"/>
        </w:rPr>
        <w:t>estaba conformada por un crédito a largo plazo garantizado p</w:t>
      </w:r>
      <w:r>
        <w:rPr>
          <w:rFonts w:ascii="Arial" w:eastAsia="Calibri" w:hAnsi="Arial" w:cs="Arial"/>
          <w:spacing w:val="-1"/>
          <w:sz w:val="17"/>
          <w:szCs w:val="17"/>
        </w:rPr>
        <w:t xml:space="preserve">or 12% de las transferencias de </w:t>
      </w:r>
      <w:r w:rsidRPr="00FE7D91">
        <w:rPr>
          <w:rFonts w:ascii="Arial" w:eastAsia="Calibri" w:hAnsi="Arial" w:cs="Arial"/>
          <w:spacing w:val="-1"/>
          <w:sz w:val="17"/>
          <w:szCs w:val="17"/>
        </w:rPr>
        <w:t>participaciones fiscales de Querétaro.</w:t>
      </w:r>
    </w:p>
    <w:p w:rsidR="00FE7D91"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Debido a años de cautelosas políticas fiscales, la posición de li</w:t>
      </w:r>
      <w:r>
        <w:rPr>
          <w:rFonts w:ascii="Arial" w:eastAsia="Calibri" w:hAnsi="Arial" w:cs="Arial"/>
          <w:spacing w:val="-1"/>
          <w:sz w:val="17"/>
          <w:szCs w:val="17"/>
        </w:rPr>
        <w:t xml:space="preserve">quidez del Estado es fuerte. El </w:t>
      </w:r>
      <w:r w:rsidRPr="00FE7D91">
        <w:rPr>
          <w:rFonts w:ascii="Arial" w:eastAsia="Calibri" w:hAnsi="Arial" w:cs="Arial"/>
          <w:spacing w:val="-1"/>
          <w:sz w:val="17"/>
          <w:szCs w:val="17"/>
        </w:rPr>
        <w:t>efectivo libre promedio reportado cubrirá alrededor de 20x (vec</w:t>
      </w:r>
      <w:r>
        <w:rPr>
          <w:rFonts w:ascii="Arial" w:eastAsia="Calibri" w:hAnsi="Arial" w:cs="Arial"/>
          <w:spacing w:val="-1"/>
          <w:sz w:val="17"/>
          <w:szCs w:val="17"/>
        </w:rPr>
        <w:t xml:space="preserve">es) el servicio de la deuda del </w:t>
      </w:r>
      <w:r w:rsidRPr="00FE7D91">
        <w:rPr>
          <w:rFonts w:ascii="Arial" w:eastAsia="Calibri" w:hAnsi="Arial" w:cs="Arial"/>
          <w:spacing w:val="-1"/>
          <w:sz w:val="17"/>
          <w:szCs w:val="17"/>
        </w:rPr>
        <w:t>Estado durante los siguientes 12 meses. No obstante, consideramos que las alta</w:t>
      </w:r>
      <w:r>
        <w:rPr>
          <w:rFonts w:ascii="Arial" w:eastAsia="Calibri" w:hAnsi="Arial" w:cs="Arial"/>
          <w:spacing w:val="-1"/>
          <w:sz w:val="17"/>
          <w:szCs w:val="17"/>
        </w:rPr>
        <w:t xml:space="preserve">s necesidades de </w:t>
      </w:r>
      <w:r w:rsidRPr="00FE7D91">
        <w:rPr>
          <w:rFonts w:ascii="Arial" w:eastAsia="Calibri" w:hAnsi="Arial" w:cs="Arial"/>
          <w:spacing w:val="-1"/>
          <w:sz w:val="17"/>
          <w:szCs w:val="17"/>
        </w:rPr>
        <w:t xml:space="preserve">fondeo para infraestructura y servicios básicos, aunadas a </w:t>
      </w:r>
      <w:r>
        <w:rPr>
          <w:rFonts w:ascii="Arial" w:eastAsia="Calibri" w:hAnsi="Arial" w:cs="Arial"/>
          <w:spacing w:val="-1"/>
          <w:sz w:val="17"/>
          <w:szCs w:val="17"/>
        </w:rPr>
        <w:t xml:space="preserve">la potencial volatilidad en las </w:t>
      </w:r>
      <w:r w:rsidRPr="00FE7D91">
        <w:rPr>
          <w:rFonts w:ascii="Arial" w:eastAsia="Calibri" w:hAnsi="Arial" w:cs="Arial"/>
          <w:spacing w:val="-1"/>
          <w:sz w:val="17"/>
          <w:szCs w:val="17"/>
        </w:rPr>
        <w:t>transferencias federales, podrían dar como resultado un flujo de efe</w:t>
      </w:r>
      <w:r>
        <w:rPr>
          <w:rFonts w:ascii="Arial" w:eastAsia="Calibri" w:hAnsi="Arial" w:cs="Arial"/>
          <w:spacing w:val="-1"/>
          <w:sz w:val="17"/>
          <w:szCs w:val="17"/>
        </w:rPr>
        <w:t>ctivo irregular durante el año.</w:t>
      </w:r>
    </w:p>
    <w:p w:rsidR="00FE7D91" w:rsidRPr="00133C02" w:rsidRDefault="00FE7D91" w:rsidP="00FE7D91">
      <w:pPr>
        <w:spacing w:before="120" w:after="120" w:line="240" w:lineRule="exact"/>
        <w:jc w:val="both"/>
        <w:rPr>
          <w:rFonts w:ascii="Arial" w:eastAsia="Calibri" w:hAnsi="Arial" w:cs="Arial"/>
          <w:spacing w:val="-1"/>
          <w:sz w:val="17"/>
          <w:szCs w:val="17"/>
        </w:rPr>
      </w:pPr>
      <w:r w:rsidRPr="00FE7D91">
        <w:rPr>
          <w:rFonts w:ascii="Arial" w:eastAsia="Calibri" w:hAnsi="Arial" w:cs="Arial"/>
          <w:spacing w:val="-1"/>
          <w:sz w:val="17"/>
          <w:szCs w:val="17"/>
        </w:rPr>
        <w:t>En nuestra opinión, el acceso de Querétaro a la liquidez externa es satisfactorio, debido al fuerte y</w:t>
      </w:r>
      <w:r>
        <w:rPr>
          <w:rFonts w:ascii="Arial" w:eastAsia="Calibri" w:hAnsi="Arial" w:cs="Arial"/>
          <w:spacing w:val="-1"/>
          <w:sz w:val="17"/>
          <w:szCs w:val="17"/>
        </w:rPr>
        <w:t xml:space="preserve"> </w:t>
      </w:r>
      <w:r w:rsidRPr="00FE7D91">
        <w:rPr>
          <w:rFonts w:ascii="Arial" w:eastAsia="Calibri" w:hAnsi="Arial" w:cs="Arial"/>
          <w:spacing w:val="-1"/>
          <w:sz w:val="17"/>
          <w:szCs w:val="17"/>
        </w:rPr>
        <w:t>diversificado grupo de bancos locales.</w:t>
      </w:r>
    </w:p>
    <w:p w:rsidR="006520E3" w:rsidRDefault="006520E3" w:rsidP="006520E3">
      <w:pPr>
        <w:spacing w:before="120" w:after="120" w:line="240" w:lineRule="exact"/>
        <w:jc w:val="both"/>
        <w:rPr>
          <w:rFonts w:ascii="Arial" w:eastAsia="Calibri" w:hAnsi="Arial" w:cs="Arial"/>
          <w:spacing w:val="-1"/>
          <w:sz w:val="17"/>
          <w:szCs w:val="17"/>
        </w:rPr>
      </w:pPr>
    </w:p>
    <w:p w:rsidR="006520E3" w:rsidRPr="0010523D"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Proceso de Mejora</w:t>
      </w:r>
    </w:p>
    <w:p w:rsidR="006520E3" w:rsidRDefault="006520E3" w:rsidP="006520E3">
      <w:pPr>
        <w:spacing w:before="120" w:after="120" w:line="240" w:lineRule="exact"/>
        <w:jc w:val="both"/>
        <w:rPr>
          <w:rFonts w:ascii="Arial" w:eastAsia="Calibri" w:hAnsi="Arial" w:cs="Arial"/>
          <w:spacing w:val="-1"/>
          <w:sz w:val="17"/>
          <w:szCs w:val="17"/>
        </w:rPr>
      </w:pPr>
      <w:r w:rsidRPr="006F3052">
        <w:rPr>
          <w:rFonts w:ascii="Arial" w:eastAsia="Calibri" w:hAnsi="Arial" w:cs="Arial"/>
          <w:spacing w:val="-1"/>
          <w:sz w:val="17"/>
          <w:szCs w:val="17"/>
        </w:rPr>
        <w:t>Durante el</w:t>
      </w:r>
      <w:r w:rsidR="00D3650E">
        <w:rPr>
          <w:rFonts w:ascii="Arial" w:eastAsia="Calibri" w:hAnsi="Arial" w:cs="Arial"/>
          <w:spacing w:val="-1"/>
          <w:sz w:val="17"/>
          <w:szCs w:val="17"/>
        </w:rPr>
        <w:t xml:space="preserve"> e</w:t>
      </w:r>
      <w:r>
        <w:rPr>
          <w:rFonts w:ascii="Arial" w:eastAsia="Calibri" w:hAnsi="Arial" w:cs="Arial"/>
          <w:spacing w:val="-1"/>
          <w:sz w:val="17"/>
          <w:szCs w:val="17"/>
        </w:rPr>
        <w:t>jercicio fiscal</w:t>
      </w:r>
      <w:r w:rsidRPr="006F3052">
        <w:rPr>
          <w:rFonts w:ascii="Arial" w:eastAsia="Calibri" w:hAnsi="Arial" w:cs="Arial"/>
          <w:spacing w:val="-1"/>
          <w:sz w:val="17"/>
          <w:szCs w:val="17"/>
        </w:rPr>
        <w:t xml:space="preserve">, se </w:t>
      </w:r>
      <w:r w:rsidR="00D3650E">
        <w:rPr>
          <w:rFonts w:ascii="Arial" w:eastAsia="Calibri" w:hAnsi="Arial" w:cs="Arial"/>
          <w:spacing w:val="-1"/>
          <w:sz w:val="17"/>
          <w:szCs w:val="17"/>
        </w:rPr>
        <w:t>atendieron</w:t>
      </w:r>
      <w:r w:rsidRPr="006F3052">
        <w:rPr>
          <w:rFonts w:ascii="Arial" w:eastAsia="Calibri" w:hAnsi="Arial" w:cs="Arial"/>
          <w:spacing w:val="-1"/>
          <w:sz w:val="17"/>
          <w:szCs w:val="17"/>
        </w:rPr>
        <w:t xml:space="preserve"> diversas observaciones y recomendaciones emitidas por parte de entidades fiscalizadoras, lo que ha dado como resultado, una mejora en los procesos de control interno, alguna de ellas se han plasmado en diversos instrumentos administrativos, como en Manuales de Procedimientos, y en el Manual de Contabilidad Gubernamental del Poder Ejecutivo del Estado de Querétaro, con el fin de alcanzar un mejor desempeño y trasparencia en las actividades gubernamentales.</w:t>
      </w:r>
    </w:p>
    <w:p w:rsidR="006520E3" w:rsidRDefault="006520E3" w:rsidP="006520E3">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lastRenderedPageBreak/>
        <w:t xml:space="preserve">La cuenta de </w:t>
      </w:r>
      <w:r w:rsidRPr="0076248C">
        <w:rPr>
          <w:rFonts w:ascii="Arial" w:eastAsia="Calibri" w:hAnsi="Arial" w:cs="Arial"/>
          <w:spacing w:val="-1"/>
          <w:sz w:val="17"/>
          <w:szCs w:val="17"/>
        </w:rPr>
        <w:t xml:space="preserve">Otros Activos no Circulantes </w:t>
      </w:r>
      <w:r>
        <w:rPr>
          <w:rFonts w:ascii="Arial" w:eastAsia="Calibri" w:hAnsi="Arial" w:cs="Arial"/>
          <w:spacing w:val="-1"/>
          <w:sz w:val="17"/>
          <w:szCs w:val="17"/>
        </w:rPr>
        <w:t>se mantiene en un proceso continuo de revisión y depuración.</w:t>
      </w:r>
    </w:p>
    <w:p w:rsidR="006520E3" w:rsidRDefault="006520E3" w:rsidP="006520E3">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Adicionalmente, se continúa llevando a cabo una revisión profunda a la base de datos a efecto de analizar y determinar áreas de oportunidad y mejoras.</w:t>
      </w:r>
    </w:p>
    <w:p w:rsidR="006520E3" w:rsidRDefault="006520E3" w:rsidP="006520E3">
      <w:pPr>
        <w:spacing w:before="120" w:after="120" w:line="240" w:lineRule="exact"/>
        <w:jc w:val="both"/>
        <w:rPr>
          <w:rFonts w:ascii="Arial" w:eastAsia="Calibri" w:hAnsi="Arial" w:cs="Arial"/>
          <w:b/>
          <w:spacing w:val="-1"/>
          <w:sz w:val="17"/>
          <w:szCs w:val="17"/>
        </w:rPr>
      </w:pPr>
    </w:p>
    <w:p w:rsidR="006520E3" w:rsidRPr="008053D2"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Información por Segmentos</w:t>
      </w:r>
    </w:p>
    <w:p w:rsidR="006520E3" w:rsidRDefault="006520E3" w:rsidP="006520E3">
      <w:pPr>
        <w:spacing w:before="120" w:after="120" w:line="240" w:lineRule="exact"/>
        <w:jc w:val="both"/>
        <w:rPr>
          <w:rFonts w:ascii="Arial" w:eastAsia="Calibri" w:hAnsi="Arial" w:cs="Arial"/>
          <w:spacing w:val="-1"/>
          <w:sz w:val="17"/>
          <w:szCs w:val="17"/>
        </w:rPr>
      </w:pPr>
      <w:r w:rsidRPr="006F3052">
        <w:rPr>
          <w:rFonts w:ascii="Arial" w:eastAsia="Calibri" w:hAnsi="Arial" w:cs="Arial"/>
          <w:spacing w:val="-1"/>
          <w:sz w:val="17"/>
          <w:szCs w:val="17"/>
        </w:rPr>
        <w:t xml:space="preserve">Para el </w:t>
      </w:r>
      <w:r w:rsidR="00D3650E">
        <w:rPr>
          <w:rFonts w:ascii="Arial" w:eastAsia="Calibri" w:hAnsi="Arial" w:cs="Arial"/>
          <w:spacing w:val="-1"/>
          <w:sz w:val="17"/>
          <w:szCs w:val="17"/>
        </w:rPr>
        <w:t>ejercicio qu</w:t>
      </w:r>
      <w:r w:rsidRPr="006F3052">
        <w:rPr>
          <w:rFonts w:ascii="Arial" w:eastAsia="Calibri" w:hAnsi="Arial" w:cs="Arial"/>
          <w:spacing w:val="-1"/>
          <w:sz w:val="17"/>
          <w:szCs w:val="17"/>
        </w:rPr>
        <w:t>e se reporta, no existe información referente a segmentos por revelar.</w:t>
      </w:r>
    </w:p>
    <w:p w:rsidR="00515775" w:rsidRPr="00A67440" w:rsidRDefault="00515775" w:rsidP="006520E3">
      <w:pPr>
        <w:spacing w:before="120" w:after="120" w:line="240" w:lineRule="exact"/>
        <w:jc w:val="both"/>
        <w:rPr>
          <w:rFonts w:ascii="Arial" w:eastAsia="Calibri" w:hAnsi="Arial" w:cs="Arial"/>
          <w:spacing w:val="-1"/>
          <w:sz w:val="17"/>
          <w:szCs w:val="17"/>
        </w:rPr>
      </w:pPr>
    </w:p>
    <w:p w:rsidR="006520E3" w:rsidRPr="008053D2"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Eventos Posteriores al Cierre</w:t>
      </w:r>
    </w:p>
    <w:p w:rsidR="006520E3" w:rsidRPr="00FF0A8A" w:rsidRDefault="006520E3" w:rsidP="006520E3">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La presente Cuenta Pública </w:t>
      </w:r>
      <w:r w:rsidRPr="00FF0A8A">
        <w:rPr>
          <w:rFonts w:ascii="Arial" w:eastAsia="Calibri" w:hAnsi="Arial" w:cs="Arial"/>
          <w:spacing w:val="-1"/>
          <w:sz w:val="17"/>
          <w:szCs w:val="17"/>
        </w:rPr>
        <w:t xml:space="preserve">del Poder Ejecutivo del Estado de Querétaro que se reporta, presenta saldos contables y presupuestarios al </w:t>
      </w:r>
      <w:r>
        <w:rPr>
          <w:rFonts w:ascii="Arial" w:eastAsia="Calibri" w:hAnsi="Arial" w:cs="Arial"/>
          <w:spacing w:val="-1"/>
          <w:sz w:val="17"/>
          <w:szCs w:val="17"/>
        </w:rPr>
        <w:t xml:space="preserve">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FF0A8A">
        <w:rPr>
          <w:rFonts w:ascii="Arial" w:eastAsia="Calibri" w:hAnsi="Arial" w:cs="Arial"/>
          <w:spacing w:val="-1"/>
          <w:sz w:val="17"/>
          <w:szCs w:val="17"/>
        </w:rPr>
        <w:t>.</w:t>
      </w:r>
    </w:p>
    <w:p w:rsidR="006520E3" w:rsidRDefault="006520E3" w:rsidP="006520E3">
      <w:pPr>
        <w:spacing w:before="120" w:after="120" w:line="240" w:lineRule="exact"/>
        <w:jc w:val="both"/>
        <w:rPr>
          <w:rFonts w:ascii="Arial" w:eastAsia="Calibri" w:hAnsi="Arial" w:cs="Arial"/>
          <w:spacing w:val="-1"/>
          <w:sz w:val="17"/>
          <w:szCs w:val="17"/>
        </w:rPr>
      </w:pPr>
      <w:r w:rsidRPr="00FF0A8A">
        <w:rPr>
          <w:rFonts w:ascii="Arial" w:eastAsia="Calibri" w:hAnsi="Arial" w:cs="Arial"/>
          <w:spacing w:val="-1"/>
          <w:sz w:val="17"/>
          <w:szCs w:val="17"/>
        </w:rPr>
        <w:t>Aunado a lo anterior, es preciso mencionar que el Poder Ejecutivo del Estado de Querétaro seguirá observando y cumpliendo a cabalidad la Ley de Disciplina Financiera de las Entidades Federativas y Municipios.</w:t>
      </w:r>
    </w:p>
    <w:p w:rsidR="006520E3" w:rsidRDefault="006520E3" w:rsidP="006520E3">
      <w:pPr>
        <w:spacing w:before="120" w:after="120" w:line="240" w:lineRule="exact"/>
        <w:jc w:val="both"/>
        <w:rPr>
          <w:rFonts w:ascii="Arial" w:eastAsia="Calibri" w:hAnsi="Arial" w:cs="Arial"/>
          <w:spacing w:val="-1"/>
          <w:sz w:val="17"/>
          <w:szCs w:val="17"/>
        </w:rPr>
      </w:pPr>
    </w:p>
    <w:p w:rsidR="006520E3" w:rsidRPr="008053D2" w:rsidRDefault="006520E3" w:rsidP="006520E3">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Partes Relacionadas</w:t>
      </w:r>
    </w:p>
    <w:p w:rsidR="006520E3" w:rsidRDefault="006520E3" w:rsidP="006520E3">
      <w:pPr>
        <w:spacing w:before="120" w:after="120" w:line="240" w:lineRule="exact"/>
        <w:jc w:val="both"/>
        <w:rPr>
          <w:rFonts w:ascii="Arial" w:eastAsia="Calibri" w:hAnsi="Arial" w:cs="Arial"/>
          <w:spacing w:val="-1"/>
          <w:sz w:val="17"/>
          <w:szCs w:val="17"/>
        </w:rPr>
      </w:pPr>
      <w:r w:rsidRPr="006F3052">
        <w:rPr>
          <w:rFonts w:ascii="Arial" w:eastAsia="Calibri" w:hAnsi="Arial" w:cs="Arial"/>
          <w:spacing w:val="-1"/>
          <w:sz w:val="17"/>
          <w:szCs w:val="17"/>
        </w:rPr>
        <w:t xml:space="preserve">Para </w:t>
      </w:r>
      <w:r>
        <w:rPr>
          <w:rFonts w:ascii="Arial" w:eastAsia="Calibri" w:hAnsi="Arial" w:cs="Arial"/>
          <w:spacing w:val="-1"/>
          <w:sz w:val="17"/>
          <w:szCs w:val="17"/>
        </w:rPr>
        <w:t xml:space="preserve">la presente Cuenta Pública al 31 de </w:t>
      </w:r>
      <w:r w:rsidR="0050443D">
        <w:rPr>
          <w:rFonts w:ascii="Arial" w:eastAsia="Calibri" w:hAnsi="Arial" w:cs="Arial"/>
          <w:spacing w:val="-1"/>
          <w:sz w:val="17"/>
          <w:szCs w:val="17"/>
        </w:rPr>
        <w:t>Diciembre</w:t>
      </w:r>
      <w:r>
        <w:rPr>
          <w:rFonts w:ascii="Arial" w:eastAsia="Calibri" w:hAnsi="Arial" w:cs="Arial"/>
          <w:spacing w:val="-1"/>
          <w:sz w:val="17"/>
          <w:szCs w:val="17"/>
        </w:rPr>
        <w:t xml:space="preserve"> del 2019</w:t>
      </w:r>
      <w:r w:rsidRPr="006F3052">
        <w:rPr>
          <w:rFonts w:ascii="Arial" w:eastAsia="Calibri" w:hAnsi="Arial" w:cs="Arial"/>
          <w:spacing w:val="-1"/>
          <w:sz w:val="17"/>
          <w:szCs w:val="17"/>
        </w:rPr>
        <w:t>, no existen partes relacionadas que pudieran ejercer influencia significativa sobre la toma de decisiones financieras y operativas.</w:t>
      </w:r>
    </w:p>
    <w:tbl>
      <w:tblPr>
        <w:tblW w:w="4943" w:type="pct"/>
        <w:jc w:val="center"/>
        <w:tblCellMar>
          <w:left w:w="70" w:type="dxa"/>
          <w:right w:w="70" w:type="dxa"/>
        </w:tblCellMar>
        <w:tblLook w:val="04A0" w:firstRow="1" w:lastRow="0" w:firstColumn="1" w:lastColumn="0" w:noHBand="0" w:noVBand="1"/>
      </w:tblPr>
      <w:tblGrid>
        <w:gridCol w:w="153"/>
        <w:gridCol w:w="4515"/>
        <w:gridCol w:w="4236"/>
        <w:gridCol w:w="4233"/>
      </w:tblGrid>
      <w:tr w:rsidR="006520E3" w:rsidRPr="002D70DA" w:rsidTr="00137283">
        <w:trPr>
          <w:trHeight w:val="499"/>
          <w:jc w:val="center"/>
        </w:trPr>
        <w:tc>
          <w:tcPr>
            <w:tcW w:w="58" w:type="pct"/>
            <w:tcBorders>
              <w:top w:val="nil"/>
              <w:left w:val="nil"/>
              <w:bottom w:val="nil"/>
              <w:right w:val="nil"/>
            </w:tcBorders>
            <w:shd w:val="clear" w:color="000000" w:fill="FFFFFF"/>
            <w:noWrap/>
            <w:vAlign w:val="bottom"/>
          </w:tcPr>
          <w:p w:rsidR="006520E3" w:rsidRPr="002D70DA" w:rsidRDefault="006520E3" w:rsidP="00137283">
            <w:pPr>
              <w:rPr>
                <w:rFonts w:ascii="Arial" w:hAnsi="Arial" w:cs="Arial"/>
                <w:color w:val="000000"/>
                <w:sz w:val="17"/>
                <w:szCs w:val="17"/>
              </w:rPr>
            </w:pPr>
          </w:p>
        </w:tc>
        <w:tc>
          <w:tcPr>
            <w:tcW w:w="1718" w:type="pct"/>
            <w:tcBorders>
              <w:top w:val="nil"/>
              <w:left w:val="nil"/>
              <w:bottom w:val="single" w:sz="4" w:space="0" w:color="auto"/>
              <w:right w:val="nil"/>
            </w:tcBorders>
            <w:shd w:val="clear" w:color="000000" w:fill="FFFFFF"/>
            <w:noWrap/>
            <w:vAlign w:val="center"/>
            <w:hideMark/>
          </w:tcPr>
          <w:p w:rsidR="006520E3" w:rsidRDefault="006520E3" w:rsidP="00137283">
            <w:pPr>
              <w:rPr>
                <w:rFonts w:ascii="Arial" w:hAnsi="Arial" w:cs="Arial"/>
                <w:sz w:val="17"/>
                <w:szCs w:val="17"/>
              </w:rPr>
            </w:pPr>
          </w:p>
          <w:p w:rsidR="00137283" w:rsidRDefault="00137283" w:rsidP="00137283">
            <w:pPr>
              <w:rPr>
                <w:rFonts w:ascii="Arial" w:hAnsi="Arial" w:cs="Arial"/>
                <w:sz w:val="17"/>
                <w:szCs w:val="17"/>
              </w:rPr>
            </w:pPr>
          </w:p>
          <w:p w:rsidR="00137283" w:rsidRDefault="00137283" w:rsidP="00137283">
            <w:pPr>
              <w:rPr>
                <w:rFonts w:ascii="Arial" w:hAnsi="Arial" w:cs="Arial"/>
                <w:sz w:val="17"/>
                <w:szCs w:val="17"/>
              </w:rPr>
            </w:pPr>
          </w:p>
          <w:p w:rsidR="00137283" w:rsidRDefault="00137283" w:rsidP="00137283">
            <w:pPr>
              <w:rPr>
                <w:rFonts w:ascii="Arial" w:hAnsi="Arial" w:cs="Arial"/>
                <w:sz w:val="17"/>
                <w:szCs w:val="17"/>
              </w:rPr>
            </w:pPr>
          </w:p>
          <w:p w:rsidR="00137283" w:rsidRDefault="00137283" w:rsidP="00137283">
            <w:pPr>
              <w:rPr>
                <w:rFonts w:ascii="Arial" w:hAnsi="Arial" w:cs="Arial"/>
                <w:sz w:val="17"/>
                <w:szCs w:val="17"/>
              </w:rPr>
            </w:pPr>
          </w:p>
          <w:p w:rsidR="00137283" w:rsidRPr="002D70DA" w:rsidRDefault="00137283" w:rsidP="00137283">
            <w:pPr>
              <w:rPr>
                <w:rFonts w:ascii="Arial" w:hAnsi="Arial" w:cs="Arial"/>
                <w:sz w:val="17"/>
                <w:szCs w:val="17"/>
              </w:rPr>
            </w:pPr>
          </w:p>
        </w:tc>
        <w:tc>
          <w:tcPr>
            <w:tcW w:w="1612" w:type="pct"/>
            <w:tcBorders>
              <w:top w:val="nil"/>
              <w:left w:val="nil"/>
              <w:right w:val="nil"/>
            </w:tcBorders>
            <w:shd w:val="clear" w:color="000000" w:fill="FFFFFF"/>
          </w:tcPr>
          <w:p w:rsidR="006520E3" w:rsidRPr="002D70DA" w:rsidRDefault="006520E3" w:rsidP="00137283">
            <w:pPr>
              <w:jc w:val="center"/>
              <w:rPr>
                <w:rFonts w:ascii="Arial" w:hAnsi="Arial" w:cs="Arial"/>
                <w:sz w:val="17"/>
                <w:szCs w:val="17"/>
              </w:rPr>
            </w:pPr>
          </w:p>
        </w:tc>
        <w:tc>
          <w:tcPr>
            <w:tcW w:w="1611" w:type="pct"/>
            <w:tcBorders>
              <w:top w:val="nil"/>
              <w:left w:val="nil"/>
              <w:bottom w:val="single" w:sz="4" w:space="0" w:color="auto"/>
              <w:right w:val="nil"/>
            </w:tcBorders>
            <w:shd w:val="clear" w:color="000000" w:fill="FFFFFF"/>
          </w:tcPr>
          <w:p w:rsidR="006520E3" w:rsidRPr="002D70DA" w:rsidRDefault="006520E3" w:rsidP="00137283">
            <w:pPr>
              <w:jc w:val="center"/>
              <w:rPr>
                <w:rFonts w:ascii="Arial" w:hAnsi="Arial" w:cs="Arial"/>
                <w:sz w:val="17"/>
                <w:szCs w:val="17"/>
              </w:rPr>
            </w:pPr>
          </w:p>
        </w:tc>
      </w:tr>
      <w:tr w:rsidR="006520E3" w:rsidRPr="002D70DA" w:rsidTr="00137283">
        <w:trPr>
          <w:trHeight w:val="300"/>
          <w:jc w:val="center"/>
        </w:trPr>
        <w:tc>
          <w:tcPr>
            <w:tcW w:w="58" w:type="pct"/>
            <w:tcBorders>
              <w:top w:val="nil"/>
              <w:left w:val="nil"/>
              <w:bottom w:val="nil"/>
              <w:right w:val="nil"/>
            </w:tcBorders>
            <w:shd w:val="clear" w:color="000000" w:fill="FFFFFF"/>
            <w:noWrap/>
            <w:vAlign w:val="bottom"/>
          </w:tcPr>
          <w:p w:rsidR="006520E3" w:rsidRPr="002D70DA" w:rsidRDefault="006520E3" w:rsidP="00137283">
            <w:pPr>
              <w:rPr>
                <w:rFonts w:ascii="Arial" w:hAnsi="Arial" w:cs="Arial"/>
                <w:color w:val="000000"/>
                <w:sz w:val="17"/>
                <w:szCs w:val="17"/>
              </w:rPr>
            </w:pPr>
          </w:p>
        </w:tc>
        <w:tc>
          <w:tcPr>
            <w:tcW w:w="1718" w:type="pct"/>
            <w:tcBorders>
              <w:top w:val="single" w:sz="4" w:space="0" w:color="auto"/>
              <w:left w:val="nil"/>
              <w:bottom w:val="nil"/>
              <w:right w:val="nil"/>
            </w:tcBorders>
            <w:shd w:val="clear" w:color="000000" w:fill="FFFFFF"/>
            <w:noWrap/>
            <w:vAlign w:val="bottom"/>
            <w:hideMark/>
          </w:tcPr>
          <w:p w:rsidR="006520E3" w:rsidRPr="002D70DA" w:rsidRDefault="006520E3" w:rsidP="00137283">
            <w:pPr>
              <w:jc w:val="center"/>
              <w:rPr>
                <w:rFonts w:ascii="Arial" w:hAnsi="Arial" w:cs="Arial"/>
                <w:color w:val="000000"/>
                <w:sz w:val="17"/>
                <w:szCs w:val="17"/>
              </w:rPr>
            </w:pPr>
            <w:r>
              <w:rPr>
                <w:rFonts w:ascii="Arial" w:hAnsi="Arial" w:cs="Arial"/>
                <w:color w:val="000000"/>
                <w:sz w:val="17"/>
                <w:szCs w:val="17"/>
              </w:rPr>
              <w:t>L.A.E. Javier Marra Olea</w:t>
            </w:r>
          </w:p>
        </w:tc>
        <w:tc>
          <w:tcPr>
            <w:tcW w:w="1612" w:type="pct"/>
            <w:tcBorders>
              <w:left w:val="nil"/>
              <w:bottom w:val="nil"/>
              <w:right w:val="nil"/>
            </w:tcBorders>
            <w:shd w:val="clear" w:color="000000" w:fill="FFFFFF"/>
          </w:tcPr>
          <w:p w:rsidR="006520E3" w:rsidRDefault="006520E3" w:rsidP="00137283">
            <w:pPr>
              <w:jc w:val="center"/>
              <w:rPr>
                <w:rFonts w:ascii="Arial" w:hAnsi="Arial" w:cs="Arial"/>
                <w:color w:val="000000"/>
                <w:sz w:val="17"/>
                <w:szCs w:val="17"/>
              </w:rPr>
            </w:pPr>
          </w:p>
        </w:tc>
        <w:tc>
          <w:tcPr>
            <w:tcW w:w="1611" w:type="pct"/>
            <w:tcBorders>
              <w:top w:val="single" w:sz="4" w:space="0" w:color="auto"/>
              <w:left w:val="nil"/>
              <w:bottom w:val="nil"/>
              <w:right w:val="nil"/>
            </w:tcBorders>
            <w:shd w:val="clear" w:color="000000" w:fill="FFFFFF"/>
            <w:vAlign w:val="bottom"/>
          </w:tcPr>
          <w:p w:rsidR="006520E3" w:rsidRPr="002D70DA" w:rsidRDefault="006520E3" w:rsidP="00137283">
            <w:pPr>
              <w:jc w:val="center"/>
              <w:rPr>
                <w:rFonts w:ascii="Arial" w:hAnsi="Arial" w:cs="Arial"/>
                <w:color w:val="000000"/>
                <w:sz w:val="17"/>
                <w:szCs w:val="17"/>
              </w:rPr>
            </w:pPr>
            <w:r>
              <w:rPr>
                <w:rFonts w:ascii="Arial" w:hAnsi="Arial" w:cs="Arial"/>
                <w:color w:val="000000"/>
                <w:sz w:val="17"/>
                <w:szCs w:val="17"/>
              </w:rPr>
              <w:t>L.C.P.F. Carlos Alfredo Fernández Velásquez</w:t>
            </w:r>
          </w:p>
        </w:tc>
      </w:tr>
      <w:tr w:rsidR="006520E3" w:rsidRPr="002D70DA" w:rsidTr="00137283">
        <w:trPr>
          <w:trHeight w:val="300"/>
          <w:jc w:val="center"/>
        </w:trPr>
        <w:tc>
          <w:tcPr>
            <w:tcW w:w="58" w:type="pct"/>
            <w:tcBorders>
              <w:top w:val="nil"/>
              <w:left w:val="nil"/>
              <w:bottom w:val="nil"/>
              <w:right w:val="nil"/>
            </w:tcBorders>
            <w:shd w:val="clear" w:color="000000" w:fill="FFFFFF"/>
            <w:noWrap/>
            <w:vAlign w:val="bottom"/>
          </w:tcPr>
          <w:p w:rsidR="006520E3" w:rsidRPr="002D70DA" w:rsidRDefault="006520E3" w:rsidP="00137283">
            <w:pPr>
              <w:rPr>
                <w:rFonts w:ascii="Arial" w:hAnsi="Arial" w:cs="Arial"/>
                <w:color w:val="000000"/>
                <w:sz w:val="17"/>
                <w:szCs w:val="17"/>
              </w:rPr>
            </w:pPr>
          </w:p>
        </w:tc>
        <w:tc>
          <w:tcPr>
            <w:tcW w:w="1718" w:type="pct"/>
            <w:tcBorders>
              <w:top w:val="nil"/>
              <w:left w:val="nil"/>
              <w:bottom w:val="nil"/>
              <w:right w:val="nil"/>
            </w:tcBorders>
            <w:shd w:val="clear" w:color="000000" w:fill="FFFFFF"/>
            <w:hideMark/>
          </w:tcPr>
          <w:p w:rsidR="006520E3" w:rsidRPr="002D70DA" w:rsidRDefault="006520E3" w:rsidP="00137283">
            <w:pPr>
              <w:jc w:val="center"/>
              <w:rPr>
                <w:rFonts w:ascii="Arial" w:hAnsi="Arial" w:cs="Arial"/>
                <w:sz w:val="17"/>
                <w:szCs w:val="17"/>
              </w:rPr>
            </w:pPr>
            <w:r>
              <w:rPr>
                <w:rFonts w:ascii="Arial" w:hAnsi="Arial" w:cs="Arial"/>
                <w:sz w:val="17"/>
                <w:szCs w:val="17"/>
              </w:rPr>
              <w:t>Secretario de Planeación y Finanzas</w:t>
            </w:r>
          </w:p>
        </w:tc>
        <w:tc>
          <w:tcPr>
            <w:tcW w:w="1612" w:type="pct"/>
            <w:tcBorders>
              <w:top w:val="nil"/>
              <w:left w:val="nil"/>
              <w:bottom w:val="nil"/>
              <w:right w:val="nil"/>
            </w:tcBorders>
            <w:shd w:val="clear" w:color="000000" w:fill="FFFFFF"/>
          </w:tcPr>
          <w:p w:rsidR="006520E3" w:rsidRDefault="006520E3" w:rsidP="00137283">
            <w:pPr>
              <w:jc w:val="center"/>
              <w:rPr>
                <w:rFonts w:ascii="Arial" w:hAnsi="Arial" w:cs="Arial"/>
                <w:sz w:val="17"/>
                <w:szCs w:val="17"/>
              </w:rPr>
            </w:pPr>
          </w:p>
        </w:tc>
        <w:tc>
          <w:tcPr>
            <w:tcW w:w="1611" w:type="pct"/>
            <w:tcBorders>
              <w:top w:val="nil"/>
              <w:left w:val="nil"/>
              <w:bottom w:val="nil"/>
              <w:right w:val="nil"/>
            </w:tcBorders>
            <w:shd w:val="clear" w:color="000000" w:fill="FFFFFF"/>
          </w:tcPr>
          <w:p w:rsidR="006520E3" w:rsidRPr="002D70DA" w:rsidRDefault="006520E3" w:rsidP="00137283">
            <w:pPr>
              <w:jc w:val="center"/>
              <w:rPr>
                <w:rFonts w:ascii="Arial" w:hAnsi="Arial" w:cs="Arial"/>
                <w:sz w:val="17"/>
                <w:szCs w:val="17"/>
              </w:rPr>
            </w:pPr>
            <w:r>
              <w:rPr>
                <w:rFonts w:ascii="Arial" w:hAnsi="Arial" w:cs="Arial"/>
                <w:sz w:val="17"/>
                <w:szCs w:val="17"/>
              </w:rPr>
              <w:t>Director de Contabilidad</w:t>
            </w:r>
          </w:p>
        </w:tc>
      </w:tr>
    </w:tbl>
    <w:p w:rsidR="006520E3" w:rsidRDefault="006520E3" w:rsidP="006520E3">
      <w:pPr>
        <w:rPr>
          <w:rFonts w:ascii="Arial" w:hAnsi="Arial" w:cs="Arial"/>
          <w:sz w:val="17"/>
          <w:szCs w:val="17"/>
        </w:rPr>
      </w:pPr>
    </w:p>
    <w:p w:rsidR="006520E3" w:rsidRDefault="006520E3" w:rsidP="006520E3">
      <w:pPr>
        <w:rPr>
          <w:rFonts w:ascii="Arial" w:hAnsi="Arial" w:cs="Arial"/>
          <w:b/>
          <w:sz w:val="17"/>
          <w:szCs w:val="17"/>
        </w:rPr>
      </w:pPr>
      <w:r w:rsidRPr="00E2041A">
        <w:rPr>
          <w:rFonts w:ascii="Arial" w:hAnsi="Arial" w:cs="Arial"/>
          <w:sz w:val="17"/>
          <w:szCs w:val="17"/>
        </w:rPr>
        <w:t>Bajo protesta de decir verdad declaramos que los Estados Financieros y sus notas, son</w:t>
      </w:r>
      <w:r>
        <w:rPr>
          <w:rFonts w:ascii="Arial" w:hAnsi="Arial" w:cs="Arial"/>
          <w:sz w:val="17"/>
          <w:szCs w:val="17"/>
        </w:rPr>
        <w:t xml:space="preserve"> </w:t>
      </w:r>
      <w:r w:rsidRPr="00E2041A">
        <w:rPr>
          <w:rFonts w:ascii="Arial" w:hAnsi="Arial" w:cs="Arial"/>
          <w:sz w:val="17"/>
          <w:szCs w:val="17"/>
        </w:rPr>
        <w:t>razonablemente correctos y son responsabilidad del emisor</w:t>
      </w:r>
      <w:r>
        <w:rPr>
          <w:rFonts w:ascii="Arial" w:hAnsi="Arial" w:cs="Arial"/>
          <w:sz w:val="17"/>
          <w:szCs w:val="17"/>
        </w:rPr>
        <w:t>.</w:t>
      </w:r>
    </w:p>
    <w:p w:rsidR="00163AF2" w:rsidRDefault="00163AF2"/>
    <w:sectPr w:rsidR="00163AF2" w:rsidSect="006520E3">
      <w:headerReference w:type="even" r:id="rId9"/>
      <w:headerReference w:type="default" r:id="rId10"/>
      <w:footerReference w:type="even" r:id="rId11"/>
      <w:footerReference w:type="default" r:id="rId12"/>
      <w:pgSz w:w="15840" w:h="12240" w:orient="landscape" w:code="1"/>
      <w:pgMar w:top="1418" w:right="1418" w:bottom="851" w:left="1134" w:header="851" w:footer="308"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F4" w:rsidRDefault="00BD7EF4" w:rsidP="006520E3">
      <w:r>
        <w:separator/>
      </w:r>
    </w:p>
  </w:endnote>
  <w:endnote w:type="continuationSeparator" w:id="0">
    <w:p w:rsidR="00BD7EF4" w:rsidRDefault="00BD7EF4" w:rsidP="0065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F8" w:rsidRPr="00CF00D0" w:rsidRDefault="001336F8" w:rsidP="00137283">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64384" behindDoc="0" locked="0" layoutInCell="1" allowOverlap="1" wp14:anchorId="10FFC076" wp14:editId="3E871D9F">
              <wp:simplePos x="0" y="0"/>
              <wp:positionH relativeFrom="page">
                <wp:posOffset>786765</wp:posOffset>
              </wp:positionH>
              <wp:positionV relativeFrom="page">
                <wp:posOffset>7088505</wp:posOffset>
              </wp:positionV>
              <wp:extent cx="8442325" cy="45085"/>
              <wp:effectExtent l="0" t="0" r="15875" b="12065"/>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6C2A" id="Rectángulo 14" o:spid="_x0000_s1026" style="position:absolute;margin-left:61.95pt;margin-top:558.15pt;width:664.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" fillcolor="#a5a5a5" strokecolor="#787878" strokeweight="1pt">
              <v:path arrowok="t"/>
              <w10:wrap type="square" anchorx="page" anchory="page"/>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Pr>
        <w:rFonts w:ascii="Avenir LT Std 45 Book" w:hAnsi="Avenir LT Std 45 Book" w:cs="Arial"/>
        <w:noProof/>
        <w:color w:val="808080"/>
        <w:szCs w:val="20"/>
      </w:rPr>
      <w:t>36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C61AD4">
      <w:rPr>
        <w:rFonts w:ascii="Avenir LT Std 45 Book" w:hAnsi="Avenir LT Std 45 Book" w:cs="Arial"/>
        <w:noProof/>
        <w:color w:val="808080"/>
        <w:szCs w:val="20"/>
      </w:rPr>
      <w:t>41</w:t>
    </w:r>
    <w:r w:rsidRPr="00CF00D0">
      <w:rPr>
        <w:rFonts w:ascii="Avenir LT Std 45 Book" w:hAnsi="Avenir LT Std 45 Book" w:cs="Arial"/>
        <w:color w:val="808080"/>
        <w:szCs w:val="20"/>
      </w:rPr>
      <w:fldChar w:fldCharType="end"/>
    </w:r>
  </w:p>
  <w:p w:rsidR="001336F8" w:rsidRPr="00813029" w:rsidRDefault="001336F8" w:rsidP="001372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F8" w:rsidRPr="00CF00D0" w:rsidRDefault="001336F8" w:rsidP="00137283">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60288" behindDoc="0" locked="0" layoutInCell="1" allowOverlap="1" wp14:anchorId="608843C9" wp14:editId="669D6CDB">
              <wp:simplePos x="0" y="0"/>
              <wp:positionH relativeFrom="margin">
                <wp:posOffset>-2540</wp:posOffset>
              </wp:positionH>
              <wp:positionV relativeFrom="page">
                <wp:posOffset>7219315</wp:posOffset>
              </wp:positionV>
              <wp:extent cx="8442325" cy="45085"/>
              <wp:effectExtent l="0" t="0" r="15875" b="12065"/>
              <wp:wrapSquare wrapText="bothSides"/>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E837" id="Rectángulo 6" o:spid="_x0000_s1026" style="position:absolute;margin-left:-.2pt;margin-top:568.45pt;width:664.75pt;height: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" fillcolor="#a5a5a5" strokecolor="#787878" strokeweight="1pt">
              <v:path arrowok="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9C163D">
      <w:rPr>
        <w:rFonts w:ascii="Avenir LT Std 45 Book" w:hAnsi="Avenir LT Std 45 Book" w:cs="Arial"/>
        <w:noProof/>
        <w:color w:val="808080"/>
        <w:szCs w:val="20"/>
      </w:rPr>
      <w:t>40</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9C163D">
      <w:rPr>
        <w:rFonts w:ascii="Avenir LT Std 45 Book" w:hAnsi="Avenir LT Std 45 Book" w:cs="Arial"/>
        <w:noProof/>
        <w:color w:val="808080"/>
        <w:szCs w:val="20"/>
      </w:rPr>
      <w:t>41</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F4" w:rsidRDefault="00BD7EF4" w:rsidP="006520E3">
      <w:r>
        <w:separator/>
      </w:r>
    </w:p>
  </w:footnote>
  <w:footnote w:type="continuationSeparator" w:id="0">
    <w:p w:rsidR="00BD7EF4" w:rsidRDefault="00BD7EF4" w:rsidP="006520E3">
      <w:r>
        <w:continuationSeparator/>
      </w:r>
    </w:p>
  </w:footnote>
  <w:footnote w:id="1">
    <w:p w:rsidR="001336F8" w:rsidRPr="000008C2" w:rsidRDefault="001336F8" w:rsidP="006520E3">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informe de deuda pública en la nota 11 “información sobre la Deuda y el Reporte Analítico de la Deuda” de las notas de Gestión Administrativa</w:t>
      </w:r>
      <w:r>
        <w:rPr>
          <w:rFonts w:ascii="Arial" w:hAnsi="Arial" w:cs="Arial"/>
          <w:sz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F8" w:rsidRPr="002809DB" w:rsidRDefault="001336F8" w:rsidP="00137283">
    <w:pPr>
      <w:rPr>
        <w:rFonts w:ascii="Soberana Sans Light" w:hAnsi="Soberana Sans Light"/>
        <w:b/>
        <w:sz w:val="20"/>
        <w:szCs w:val="20"/>
      </w:rPr>
    </w:pPr>
    <w:r>
      <w:rPr>
        <w:noProof/>
      </w:rPr>
      <mc:AlternateContent>
        <mc:Choice Requires="wps">
          <w:drawing>
            <wp:anchor distT="0" distB="0" distL="114300" distR="114300" simplePos="0" relativeHeight="251662336" behindDoc="0" locked="0" layoutInCell="1" allowOverlap="1" wp14:anchorId="18F9326E" wp14:editId="2B1066B3">
              <wp:simplePos x="0" y="0"/>
              <wp:positionH relativeFrom="margin">
                <wp:posOffset>6494780</wp:posOffset>
              </wp:positionH>
              <wp:positionV relativeFrom="paragraph">
                <wp:posOffset>-159385</wp:posOffset>
              </wp:positionV>
              <wp:extent cx="1940560" cy="384175"/>
              <wp:effectExtent l="0" t="0" r="254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6F8" w:rsidRPr="00505BF8" w:rsidRDefault="001336F8" w:rsidP="00137283">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9326E" id="_x0000_t202" coordsize="21600,21600" o:spt="202" path="m,l,21600r21600,l21600,xe">
              <v:stroke joinstyle="miter"/>
              <v:path gradientshapeok="t" o:connecttype="rect"/>
            </v:shapetype>
            <v:shape id="Cuadro de texto 5" o:spid="_x0000_s1026" type="#_x0000_t202" style="position:absolute;margin-left:511.4pt;margin-top:-12.55pt;width:152.8pt;height:3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xuiAIAABc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" stroked="f">
              <v:textbox>
                <w:txbxContent>
                  <w:p w:rsidR="00AE63AF" w:rsidRPr="00505BF8" w:rsidRDefault="00AE63AF" w:rsidP="00137283">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2019</w:t>
                    </w:r>
                  </w:p>
                </w:txbxContent>
              </v:textbox>
              <w10:wrap anchorx="margin"/>
            </v:shape>
          </w:pict>
        </mc:Fallback>
      </mc:AlternateContent>
    </w:r>
    <w:r>
      <w:rPr>
        <w:noProof/>
      </w:rPr>
      <w:drawing>
        <wp:anchor distT="0" distB="0" distL="114300" distR="114300" simplePos="0" relativeHeight="251663360" behindDoc="1" locked="0" layoutInCell="1" allowOverlap="1" wp14:anchorId="2F40B878" wp14:editId="60F1AC75">
          <wp:simplePos x="0" y="0"/>
          <wp:positionH relativeFrom="margin">
            <wp:align>left</wp:align>
          </wp:positionH>
          <wp:positionV relativeFrom="paragraph">
            <wp:posOffset>-332740</wp:posOffset>
          </wp:positionV>
          <wp:extent cx="1564005" cy="581660"/>
          <wp:effectExtent l="0" t="0" r="0" b="8890"/>
          <wp:wrapNone/>
          <wp:docPr id="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271EEAE" wp14:editId="57DE4B72">
              <wp:simplePos x="0" y="0"/>
              <wp:positionH relativeFrom="margin">
                <wp:align>left</wp:align>
              </wp:positionH>
              <wp:positionV relativeFrom="paragraph">
                <wp:posOffset>268605</wp:posOffset>
              </wp:positionV>
              <wp:extent cx="8442960" cy="45720"/>
              <wp:effectExtent l="0" t="0" r="15240" b="114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58B2A" id="Rectángulo 9" o:spid="_x0000_s1026" style="position:absolute;margin-left:0;margin-top:21.15pt;width:664.8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" fillcolor="#a5a5a5" strokecolor="#787878" strokeweight="1pt">
              <v:path arrowok="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F8" w:rsidRPr="00CF00D0" w:rsidRDefault="001336F8" w:rsidP="00137283">
    <w:pPr>
      <w:jc w:val="center"/>
      <w:rPr>
        <w:rFonts w:ascii="Avenir LT Std 45 Book" w:hAnsi="Avenir LT Std 45 Book"/>
        <w:b/>
        <w:color w:val="808080"/>
        <w:sz w:val="20"/>
        <w:szCs w:val="20"/>
      </w:rPr>
    </w:pPr>
    <w:r>
      <w:rPr>
        <w:noProof/>
      </w:rPr>
      <mc:AlternateContent>
        <mc:Choice Requires="wps">
          <w:drawing>
            <wp:anchor distT="0" distB="0" distL="114300" distR="114300" simplePos="0" relativeHeight="251665408" behindDoc="0" locked="0" layoutInCell="1" allowOverlap="1" wp14:anchorId="06014423" wp14:editId="799F9F85">
              <wp:simplePos x="0" y="0"/>
              <wp:positionH relativeFrom="margin">
                <wp:align>right</wp:align>
              </wp:positionH>
              <wp:positionV relativeFrom="paragraph">
                <wp:posOffset>-238125</wp:posOffset>
              </wp:positionV>
              <wp:extent cx="1940560" cy="384175"/>
              <wp:effectExtent l="0" t="0" r="2540" b="0"/>
              <wp:wrapNone/>
              <wp:docPr id="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6F8" w:rsidRPr="00505BF8" w:rsidRDefault="001336F8" w:rsidP="00137283">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14423" id="_x0000_t202" coordsize="21600,21600" o:spt="202" path="m,l,21600r21600,l21600,xe">
              <v:stroke joinstyle="miter"/>
              <v:path gradientshapeok="t" o:connecttype="rect"/>
            </v:shapetype>
            <v:shape id="_x0000_s1027" type="#_x0000_t202" style="position:absolute;left:0;text-align:left;margin-left:101.6pt;margin-top:-18.75pt;width:152.8pt;height:3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" stroked="f">
              <v:textbox>
                <w:txbxContent>
                  <w:p w:rsidR="00AE63AF" w:rsidRPr="00505BF8" w:rsidRDefault="00AE63AF" w:rsidP="00137283">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2019</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BB7A2FB" wp14:editId="4EF46627">
              <wp:simplePos x="0" y="0"/>
              <wp:positionH relativeFrom="margin">
                <wp:align>right</wp:align>
              </wp:positionH>
              <wp:positionV relativeFrom="paragraph">
                <wp:posOffset>205740</wp:posOffset>
              </wp:positionV>
              <wp:extent cx="8442960" cy="45720"/>
              <wp:effectExtent l="0" t="0" r="15240" b="1143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242BE" id="Rectángulo 5" o:spid="_x0000_s1026" style="position:absolute;margin-left:613.6pt;margin-top:16.2pt;width:664.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" fillcolor="#a5a5a5" strokecolor="#787878" strokeweight="1pt">
              <v:path arrowok="t"/>
              <w10:wrap anchorx="margin"/>
            </v:rect>
          </w:pict>
        </mc:Fallback>
      </mc:AlternateContent>
    </w:r>
    <w:r>
      <w:rPr>
        <w:rFonts w:ascii="Avenir LT Std 45 Book" w:hAnsi="Avenir LT Std 45 Book" w:cs="Arial"/>
        <w:b/>
        <w:caps/>
        <w:noProof/>
        <w:color w:val="808080"/>
        <w:sz w:val="20"/>
        <w:szCs w:val="20"/>
      </w:rPr>
      <w:t>PODER EJECUTIVO DEL ESTADO DE QUERÉTARO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3">
    <w:nsid w:val="0EBC78DB"/>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620A13"/>
    <w:multiLevelType w:val="hybridMultilevel"/>
    <w:tmpl w:val="70E68EE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31F4191"/>
    <w:multiLevelType w:val="hybridMultilevel"/>
    <w:tmpl w:val="E698E522"/>
    <w:lvl w:ilvl="0" w:tplc="0C0A0001">
      <w:start w:val="1"/>
      <w:numFmt w:val="bullet"/>
      <w:lvlText w:val=""/>
      <w:lvlJc w:val="left"/>
      <w:pPr>
        <w:ind w:left="-2116" w:hanging="360"/>
      </w:pPr>
      <w:rPr>
        <w:rFonts w:ascii="Symbol" w:hAnsi="Symbol" w:hint="default"/>
      </w:rPr>
    </w:lvl>
    <w:lvl w:ilvl="1" w:tplc="080A0003" w:tentative="1">
      <w:start w:val="1"/>
      <w:numFmt w:val="bullet"/>
      <w:lvlText w:val="o"/>
      <w:lvlJc w:val="left"/>
      <w:pPr>
        <w:ind w:left="-1396" w:hanging="360"/>
      </w:pPr>
      <w:rPr>
        <w:rFonts w:ascii="Courier New" w:hAnsi="Courier New" w:cs="Courier New" w:hint="default"/>
      </w:rPr>
    </w:lvl>
    <w:lvl w:ilvl="2" w:tplc="080A0005" w:tentative="1">
      <w:start w:val="1"/>
      <w:numFmt w:val="bullet"/>
      <w:lvlText w:val=""/>
      <w:lvlJc w:val="left"/>
      <w:pPr>
        <w:ind w:left="-676" w:hanging="360"/>
      </w:pPr>
      <w:rPr>
        <w:rFonts w:ascii="Wingdings" w:hAnsi="Wingdings" w:hint="default"/>
      </w:rPr>
    </w:lvl>
    <w:lvl w:ilvl="3" w:tplc="080A0001" w:tentative="1">
      <w:start w:val="1"/>
      <w:numFmt w:val="bullet"/>
      <w:lvlText w:val=""/>
      <w:lvlJc w:val="left"/>
      <w:pPr>
        <w:ind w:left="44" w:hanging="360"/>
      </w:pPr>
      <w:rPr>
        <w:rFonts w:ascii="Symbol" w:hAnsi="Symbol" w:hint="default"/>
      </w:rPr>
    </w:lvl>
    <w:lvl w:ilvl="4" w:tplc="080A0003" w:tentative="1">
      <w:start w:val="1"/>
      <w:numFmt w:val="bullet"/>
      <w:lvlText w:val="o"/>
      <w:lvlJc w:val="left"/>
      <w:pPr>
        <w:ind w:left="764" w:hanging="360"/>
      </w:pPr>
      <w:rPr>
        <w:rFonts w:ascii="Courier New" w:hAnsi="Courier New" w:cs="Courier New" w:hint="default"/>
      </w:rPr>
    </w:lvl>
    <w:lvl w:ilvl="5" w:tplc="080A0005" w:tentative="1">
      <w:start w:val="1"/>
      <w:numFmt w:val="bullet"/>
      <w:lvlText w:val=""/>
      <w:lvlJc w:val="left"/>
      <w:pPr>
        <w:ind w:left="1484" w:hanging="360"/>
      </w:pPr>
      <w:rPr>
        <w:rFonts w:ascii="Wingdings" w:hAnsi="Wingdings" w:hint="default"/>
      </w:rPr>
    </w:lvl>
    <w:lvl w:ilvl="6" w:tplc="080A0001" w:tentative="1">
      <w:start w:val="1"/>
      <w:numFmt w:val="bullet"/>
      <w:lvlText w:val=""/>
      <w:lvlJc w:val="left"/>
      <w:pPr>
        <w:ind w:left="2204" w:hanging="360"/>
      </w:pPr>
      <w:rPr>
        <w:rFonts w:ascii="Symbol" w:hAnsi="Symbol" w:hint="default"/>
      </w:rPr>
    </w:lvl>
    <w:lvl w:ilvl="7" w:tplc="080A0003" w:tentative="1">
      <w:start w:val="1"/>
      <w:numFmt w:val="bullet"/>
      <w:lvlText w:val="o"/>
      <w:lvlJc w:val="left"/>
      <w:pPr>
        <w:ind w:left="2924" w:hanging="360"/>
      </w:pPr>
      <w:rPr>
        <w:rFonts w:ascii="Courier New" w:hAnsi="Courier New" w:cs="Courier New" w:hint="default"/>
      </w:rPr>
    </w:lvl>
    <w:lvl w:ilvl="8" w:tplc="080A0005" w:tentative="1">
      <w:start w:val="1"/>
      <w:numFmt w:val="bullet"/>
      <w:lvlText w:val=""/>
      <w:lvlJc w:val="left"/>
      <w:pPr>
        <w:ind w:left="3644" w:hanging="360"/>
      </w:pPr>
      <w:rPr>
        <w:rFonts w:ascii="Wingdings" w:hAnsi="Wingdings" w:hint="default"/>
      </w:rPr>
    </w:lvl>
  </w:abstractNum>
  <w:abstractNum w:abstractNumId="6">
    <w:nsid w:val="16306031"/>
    <w:multiLevelType w:val="hybridMultilevel"/>
    <w:tmpl w:val="1A8CEA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BBF21CA"/>
    <w:multiLevelType w:val="hybridMultilevel"/>
    <w:tmpl w:val="F3EC4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005D7A"/>
    <w:multiLevelType w:val="hybridMultilevel"/>
    <w:tmpl w:val="A706FA1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1E0729A5"/>
    <w:multiLevelType w:val="hybridMultilevel"/>
    <w:tmpl w:val="872E86D8"/>
    <w:lvl w:ilvl="0" w:tplc="080A000F">
      <w:start w:val="1"/>
      <w:numFmt w:val="decimal"/>
      <w:lvlText w:val="%1."/>
      <w:lvlJc w:val="left"/>
      <w:pPr>
        <w:ind w:left="720" w:hanging="360"/>
      </w:pPr>
      <w:rPr>
        <w:rFonts w:hint="default"/>
      </w:rPr>
    </w:lvl>
    <w:lvl w:ilvl="1" w:tplc="B31499F6">
      <w:start w:val="2"/>
      <w:numFmt w:val="bullet"/>
      <w:lvlText w:val="-"/>
      <w:lvlJc w:val="left"/>
      <w:pPr>
        <w:ind w:left="1440" w:hanging="360"/>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110A58"/>
    <w:multiLevelType w:val="hybridMultilevel"/>
    <w:tmpl w:val="EE2A594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nsid w:val="24B32528"/>
    <w:multiLevelType w:val="hybridMultilevel"/>
    <w:tmpl w:val="B6820BFA"/>
    <w:lvl w:ilvl="0" w:tplc="688A04A0">
      <w:start w:val="4"/>
      <w:numFmt w:val="low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12">
    <w:nsid w:val="252405AB"/>
    <w:multiLevelType w:val="hybridMultilevel"/>
    <w:tmpl w:val="4CC0F01C"/>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257A04E6"/>
    <w:multiLevelType w:val="hybridMultilevel"/>
    <w:tmpl w:val="1C9AA436"/>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4">
    <w:nsid w:val="297E71F7"/>
    <w:multiLevelType w:val="hybridMultilevel"/>
    <w:tmpl w:val="1C3CA06C"/>
    <w:lvl w:ilvl="0" w:tplc="F81ABA00">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9A60BC5"/>
    <w:multiLevelType w:val="hybridMultilevel"/>
    <w:tmpl w:val="94E24CBC"/>
    <w:lvl w:ilvl="0" w:tplc="080A000F">
      <w:start w:val="1"/>
      <w:numFmt w:val="decimal"/>
      <w:lvlText w:val="%1."/>
      <w:lvlJc w:val="left"/>
      <w:pPr>
        <w:ind w:left="890" w:hanging="360"/>
      </w:p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16">
    <w:nsid w:val="29ED175A"/>
    <w:multiLevelType w:val="hybridMultilevel"/>
    <w:tmpl w:val="35823138"/>
    <w:lvl w:ilvl="0" w:tplc="A1A85B12">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2D474142"/>
    <w:multiLevelType w:val="hybridMultilevel"/>
    <w:tmpl w:val="61A695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2D5B3B35"/>
    <w:multiLevelType w:val="hybridMultilevel"/>
    <w:tmpl w:val="35CC276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C647991"/>
    <w:multiLevelType w:val="hybridMultilevel"/>
    <w:tmpl w:val="7682E65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C22DB6"/>
    <w:multiLevelType w:val="hybridMultilevel"/>
    <w:tmpl w:val="CC42A7D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nsid w:val="3D18779B"/>
    <w:multiLevelType w:val="hybridMultilevel"/>
    <w:tmpl w:val="840C29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D227325"/>
    <w:multiLevelType w:val="hybridMultilevel"/>
    <w:tmpl w:val="4A5AD6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834C4A"/>
    <w:multiLevelType w:val="hybridMultilevel"/>
    <w:tmpl w:val="D5E07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27">
    <w:nsid w:val="46EF7954"/>
    <w:multiLevelType w:val="hybridMultilevel"/>
    <w:tmpl w:val="CDCEE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9FF0151"/>
    <w:multiLevelType w:val="hybridMultilevel"/>
    <w:tmpl w:val="94E24CBC"/>
    <w:lvl w:ilvl="0" w:tplc="080A000F">
      <w:start w:val="1"/>
      <w:numFmt w:val="decimal"/>
      <w:lvlText w:val="%1."/>
      <w:lvlJc w:val="left"/>
      <w:pPr>
        <w:ind w:left="890" w:hanging="360"/>
      </w:p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29">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0">
    <w:nsid w:val="4AFD0A42"/>
    <w:multiLevelType w:val="hybridMultilevel"/>
    <w:tmpl w:val="601212F8"/>
    <w:lvl w:ilvl="0" w:tplc="76D695B0">
      <w:start w:val="1"/>
      <w:numFmt w:val="upperRoman"/>
      <w:lvlText w:val="%1)"/>
      <w:lvlJc w:val="left"/>
      <w:pPr>
        <w:ind w:left="1440" w:hanging="720"/>
      </w:pPr>
      <w:rPr>
        <w:rFonts w:hint="default"/>
      </w:rPr>
    </w:lvl>
    <w:lvl w:ilvl="1" w:tplc="080A0001">
      <w:start w:val="1"/>
      <w:numFmt w:val="bullet"/>
      <w:lvlText w:val=""/>
      <w:lvlJc w:val="left"/>
      <w:pPr>
        <w:ind w:left="2145" w:hanging="705"/>
      </w:pPr>
      <w:rPr>
        <w:rFonts w:ascii="Symbol" w:hAnsi="Symbo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4D521834"/>
    <w:multiLevelType w:val="hybridMultilevel"/>
    <w:tmpl w:val="94E24CBC"/>
    <w:lvl w:ilvl="0" w:tplc="080A000F">
      <w:start w:val="1"/>
      <w:numFmt w:val="decimal"/>
      <w:lvlText w:val="%1."/>
      <w:lvlJc w:val="left"/>
      <w:pPr>
        <w:ind w:left="890" w:hanging="360"/>
      </w:pPr>
    </w:lvl>
    <w:lvl w:ilvl="1" w:tplc="080A0019" w:tentative="1">
      <w:start w:val="1"/>
      <w:numFmt w:val="lowerLetter"/>
      <w:lvlText w:val="%2."/>
      <w:lvlJc w:val="left"/>
      <w:pPr>
        <w:ind w:left="1610" w:hanging="360"/>
      </w:pPr>
    </w:lvl>
    <w:lvl w:ilvl="2" w:tplc="080A001B" w:tentative="1">
      <w:start w:val="1"/>
      <w:numFmt w:val="lowerRoman"/>
      <w:lvlText w:val="%3."/>
      <w:lvlJc w:val="right"/>
      <w:pPr>
        <w:ind w:left="2330" w:hanging="180"/>
      </w:pPr>
    </w:lvl>
    <w:lvl w:ilvl="3" w:tplc="080A000F" w:tentative="1">
      <w:start w:val="1"/>
      <w:numFmt w:val="decimal"/>
      <w:lvlText w:val="%4."/>
      <w:lvlJc w:val="left"/>
      <w:pPr>
        <w:ind w:left="3050" w:hanging="360"/>
      </w:pPr>
    </w:lvl>
    <w:lvl w:ilvl="4" w:tplc="080A0019" w:tentative="1">
      <w:start w:val="1"/>
      <w:numFmt w:val="lowerLetter"/>
      <w:lvlText w:val="%5."/>
      <w:lvlJc w:val="left"/>
      <w:pPr>
        <w:ind w:left="3770" w:hanging="360"/>
      </w:pPr>
    </w:lvl>
    <w:lvl w:ilvl="5" w:tplc="080A001B" w:tentative="1">
      <w:start w:val="1"/>
      <w:numFmt w:val="lowerRoman"/>
      <w:lvlText w:val="%6."/>
      <w:lvlJc w:val="right"/>
      <w:pPr>
        <w:ind w:left="4490" w:hanging="180"/>
      </w:pPr>
    </w:lvl>
    <w:lvl w:ilvl="6" w:tplc="080A000F" w:tentative="1">
      <w:start w:val="1"/>
      <w:numFmt w:val="decimal"/>
      <w:lvlText w:val="%7."/>
      <w:lvlJc w:val="left"/>
      <w:pPr>
        <w:ind w:left="5210" w:hanging="360"/>
      </w:pPr>
    </w:lvl>
    <w:lvl w:ilvl="7" w:tplc="080A0019" w:tentative="1">
      <w:start w:val="1"/>
      <w:numFmt w:val="lowerLetter"/>
      <w:lvlText w:val="%8."/>
      <w:lvlJc w:val="left"/>
      <w:pPr>
        <w:ind w:left="5930" w:hanging="360"/>
      </w:pPr>
    </w:lvl>
    <w:lvl w:ilvl="8" w:tplc="080A001B" w:tentative="1">
      <w:start w:val="1"/>
      <w:numFmt w:val="lowerRoman"/>
      <w:lvlText w:val="%9."/>
      <w:lvlJc w:val="right"/>
      <w:pPr>
        <w:ind w:left="6650" w:hanging="180"/>
      </w:pPr>
    </w:lvl>
  </w:abstractNum>
  <w:abstractNum w:abstractNumId="32">
    <w:nsid w:val="4DCA75D9"/>
    <w:multiLevelType w:val="hybridMultilevel"/>
    <w:tmpl w:val="89C6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FC0483E"/>
    <w:multiLevelType w:val="hybridMultilevel"/>
    <w:tmpl w:val="B622C8DC"/>
    <w:lvl w:ilvl="0" w:tplc="70CCB7A4">
      <w:start w:val="3"/>
      <w:numFmt w:val="upp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34">
    <w:nsid w:val="51061865"/>
    <w:multiLevelType w:val="hybridMultilevel"/>
    <w:tmpl w:val="45588F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6C6B56"/>
    <w:multiLevelType w:val="hybridMultilevel"/>
    <w:tmpl w:val="2EEEB396"/>
    <w:lvl w:ilvl="0" w:tplc="A11E76EE">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36">
    <w:nsid w:val="542C5687"/>
    <w:multiLevelType w:val="hybridMultilevel"/>
    <w:tmpl w:val="A84AA23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54B57733"/>
    <w:multiLevelType w:val="hybridMultilevel"/>
    <w:tmpl w:val="5B846C3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55CB0BC0"/>
    <w:multiLevelType w:val="hybridMultilevel"/>
    <w:tmpl w:val="E26CF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6A966AD"/>
    <w:multiLevelType w:val="hybridMultilevel"/>
    <w:tmpl w:val="B6FC8B10"/>
    <w:lvl w:ilvl="0" w:tplc="1A7414A8">
      <w:start w:val="3"/>
      <w:numFmt w:val="lowerLetter"/>
      <w:lvlText w:val="%1."/>
      <w:lvlJc w:val="left"/>
      <w:pPr>
        <w:ind w:left="1275" w:hanging="360"/>
      </w:pPr>
      <w:rPr>
        <w:rFonts w:hint="default"/>
      </w:rPr>
    </w:lvl>
    <w:lvl w:ilvl="1" w:tplc="080A0019" w:tentative="1">
      <w:start w:val="1"/>
      <w:numFmt w:val="lowerLetter"/>
      <w:lvlText w:val="%2."/>
      <w:lvlJc w:val="left"/>
      <w:pPr>
        <w:ind w:left="1995" w:hanging="360"/>
      </w:pPr>
    </w:lvl>
    <w:lvl w:ilvl="2" w:tplc="080A001B" w:tentative="1">
      <w:start w:val="1"/>
      <w:numFmt w:val="lowerRoman"/>
      <w:lvlText w:val="%3."/>
      <w:lvlJc w:val="right"/>
      <w:pPr>
        <w:ind w:left="2715" w:hanging="180"/>
      </w:pPr>
    </w:lvl>
    <w:lvl w:ilvl="3" w:tplc="080A000F" w:tentative="1">
      <w:start w:val="1"/>
      <w:numFmt w:val="decimal"/>
      <w:lvlText w:val="%4."/>
      <w:lvlJc w:val="left"/>
      <w:pPr>
        <w:ind w:left="3435" w:hanging="360"/>
      </w:pPr>
    </w:lvl>
    <w:lvl w:ilvl="4" w:tplc="080A0019" w:tentative="1">
      <w:start w:val="1"/>
      <w:numFmt w:val="lowerLetter"/>
      <w:lvlText w:val="%5."/>
      <w:lvlJc w:val="left"/>
      <w:pPr>
        <w:ind w:left="4155" w:hanging="360"/>
      </w:pPr>
    </w:lvl>
    <w:lvl w:ilvl="5" w:tplc="080A001B" w:tentative="1">
      <w:start w:val="1"/>
      <w:numFmt w:val="lowerRoman"/>
      <w:lvlText w:val="%6."/>
      <w:lvlJc w:val="right"/>
      <w:pPr>
        <w:ind w:left="4875" w:hanging="180"/>
      </w:pPr>
    </w:lvl>
    <w:lvl w:ilvl="6" w:tplc="080A000F" w:tentative="1">
      <w:start w:val="1"/>
      <w:numFmt w:val="decimal"/>
      <w:lvlText w:val="%7."/>
      <w:lvlJc w:val="left"/>
      <w:pPr>
        <w:ind w:left="5595" w:hanging="360"/>
      </w:pPr>
    </w:lvl>
    <w:lvl w:ilvl="7" w:tplc="080A0019" w:tentative="1">
      <w:start w:val="1"/>
      <w:numFmt w:val="lowerLetter"/>
      <w:lvlText w:val="%8."/>
      <w:lvlJc w:val="left"/>
      <w:pPr>
        <w:ind w:left="6315" w:hanging="360"/>
      </w:pPr>
    </w:lvl>
    <w:lvl w:ilvl="8" w:tplc="080A001B" w:tentative="1">
      <w:start w:val="1"/>
      <w:numFmt w:val="lowerRoman"/>
      <w:lvlText w:val="%9."/>
      <w:lvlJc w:val="right"/>
      <w:pPr>
        <w:ind w:left="7035" w:hanging="180"/>
      </w:pPr>
    </w:lvl>
  </w:abstractNum>
  <w:abstractNum w:abstractNumId="40">
    <w:nsid w:val="58711F96"/>
    <w:multiLevelType w:val="hybridMultilevel"/>
    <w:tmpl w:val="81760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88070F0"/>
    <w:multiLevelType w:val="hybridMultilevel"/>
    <w:tmpl w:val="FA46E3DC"/>
    <w:lvl w:ilvl="0" w:tplc="1092F2C4">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5D665E2A"/>
    <w:multiLevelType w:val="hybridMultilevel"/>
    <w:tmpl w:val="0D8AA7D6"/>
    <w:lvl w:ilvl="0" w:tplc="123CF072">
      <w:start w:val="1"/>
      <w:numFmt w:val="low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43">
    <w:nsid w:val="5FFD38B2"/>
    <w:multiLevelType w:val="hybridMultilevel"/>
    <w:tmpl w:val="EF94B5B0"/>
    <w:lvl w:ilvl="0" w:tplc="76D695B0">
      <w:start w:val="1"/>
      <w:numFmt w:val="upperRoman"/>
      <w:lvlText w:val="%1)"/>
      <w:lvlJc w:val="left"/>
      <w:pPr>
        <w:ind w:left="1080" w:hanging="720"/>
      </w:pPr>
      <w:rPr>
        <w:rFonts w:hint="default"/>
      </w:rPr>
    </w:lvl>
    <w:lvl w:ilvl="1" w:tplc="A1A85B12">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38B1C13"/>
    <w:multiLevelType w:val="hybridMultilevel"/>
    <w:tmpl w:val="5E5A2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7">
    <w:nsid w:val="751F797E"/>
    <w:multiLevelType w:val="hybridMultilevel"/>
    <w:tmpl w:val="659C98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nsid w:val="7CE1298B"/>
    <w:multiLevelType w:val="hybridMultilevel"/>
    <w:tmpl w:val="04FA67CA"/>
    <w:lvl w:ilvl="0" w:tplc="080A0001">
      <w:start w:val="1"/>
      <w:numFmt w:val="bullet"/>
      <w:lvlText w:val=""/>
      <w:lvlJc w:val="left"/>
      <w:pPr>
        <w:ind w:left="1440" w:hanging="720"/>
      </w:pPr>
      <w:rPr>
        <w:rFonts w:ascii="Symbol" w:hAnsi="Symbol" w:hint="default"/>
      </w:rPr>
    </w:lvl>
    <w:lvl w:ilvl="1" w:tplc="080A0001">
      <w:start w:val="1"/>
      <w:numFmt w:val="bullet"/>
      <w:lvlText w:val=""/>
      <w:lvlJc w:val="left"/>
      <w:pPr>
        <w:ind w:left="2145" w:hanging="705"/>
      </w:pPr>
      <w:rPr>
        <w:rFonts w:ascii="Symbol" w:hAnsi="Symbo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nsid w:val="7FA94D2F"/>
    <w:multiLevelType w:val="hybridMultilevel"/>
    <w:tmpl w:val="0430DD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6"/>
  </w:num>
  <w:num w:numId="2">
    <w:abstractNumId w:val="26"/>
  </w:num>
  <w:num w:numId="3">
    <w:abstractNumId w:val="0"/>
  </w:num>
  <w:num w:numId="4">
    <w:abstractNumId w:val="29"/>
  </w:num>
  <w:num w:numId="5">
    <w:abstractNumId w:val="19"/>
  </w:num>
  <w:num w:numId="6">
    <w:abstractNumId w:val="1"/>
  </w:num>
  <w:num w:numId="7">
    <w:abstractNumId w:val="2"/>
  </w:num>
  <w:num w:numId="8">
    <w:abstractNumId w:val="49"/>
  </w:num>
  <w:num w:numId="9">
    <w:abstractNumId w:val="24"/>
  </w:num>
  <w:num w:numId="10">
    <w:abstractNumId w:val="43"/>
  </w:num>
  <w:num w:numId="11">
    <w:abstractNumId w:val="3"/>
  </w:num>
  <w:num w:numId="12">
    <w:abstractNumId w:val="41"/>
  </w:num>
  <w:num w:numId="13">
    <w:abstractNumId w:val="5"/>
  </w:num>
  <w:num w:numId="14">
    <w:abstractNumId w:val="44"/>
  </w:num>
  <w:num w:numId="15">
    <w:abstractNumId w:val="34"/>
  </w:num>
  <w:num w:numId="16">
    <w:abstractNumId w:val="18"/>
  </w:num>
  <w:num w:numId="17">
    <w:abstractNumId w:val="13"/>
  </w:num>
  <w:num w:numId="18">
    <w:abstractNumId w:val="47"/>
  </w:num>
  <w:num w:numId="19">
    <w:abstractNumId w:val="23"/>
  </w:num>
  <w:num w:numId="20">
    <w:abstractNumId w:val="32"/>
  </w:num>
  <w:num w:numId="21">
    <w:abstractNumId w:val="10"/>
  </w:num>
  <w:num w:numId="22">
    <w:abstractNumId w:val="27"/>
  </w:num>
  <w:num w:numId="23">
    <w:abstractNumId w:val="36"/>
  </w:num>
  <w:num w:numId="24">
    <w:abstractNumId w:val="8"/>
  </w:num>
  <w:num w:numId="25">
    <w:abstractNumId w:val="12"/>
  </w:num>
  <w:num w:numId="26">
    <w:abstractNumId w:val="37"/>
  </w:num>
  <w:num w:numId="27">
    <w:abstractNumId w:val="30"/>
  </w:num>
  <w:num w:numId="28">
    <w:abstractNumId w:val="48"/>
  </w:num>
  <w:num w:numId="29">
    <w:abstractNumId w:val="38"/>
  </w:num>
  <w:num w:numId="30">
    <w:abstractNumId w:val="16"/>
  </w:num>
  <w:num w:numId="31">
    <w:abstractNumId w:val="17"/>
  </w:num>
  <w:num w:numId="32">
    <w:abstractNumId w:val="7"/>
  </w:num>
  <w:num w:numId="33">
    <w:abstractNumId w:val="25"/>
  </w:num>
  <w:num w:numId="34">
    <w:abstractNumId w:val="45"/>
  </w:num>
  <w:num w:numId="35">
    <w:abstractNumId w:val="6"/>
  </w:num>
  <w:num w:numId="36">
    <w:abstractNumId w:val="28"/>
  </w:num>
  <w:num w:numId="37">
    <w:abstractNumId w:val="4"/>
  </w:num>
  <w:num w:numId="38">
    <w:abstractNumId w:val="21"/>
  </w:num>
  <w:num w:numId="39">
    <w:abstractNumId w:val="15"/>
  </w:num>
  <w:num w:numId="40">
    <w:abstractNumId w:val="22"/>
  </w:num>
  <w:num w:numId="41">
    <w:abstractNumId w:val="9"/>
  </w:num>
  <w:num w:numId="42">
    <w:abstractNumId w:val="31"/>
  </w:num>
  <w:num w:numId="43">
    <w:abstractNumId w:val="40"/>
  </w:num>
  <w:num w:numId="44">
    <w:abstractNumId w:val="14"/>
  </w:num>
  <w:num w:numId="45">
    <w:abstractNumId w:val="20"/>
  </w:num>
  <w:num w:numId="46">
    <w:abstractNumId w:val="35"/>
  </w:num>
  <w:num w:numId="47">
    <w:abstractNumId w:val="42"/>
  </w:num>
  <w:num w:numId="48">
    <w:abstractNumId w:val="11"/>
  </w:num>
  <w:num w:numId="49">
    <w:abstractNumId w:val="3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E3"/>
    <w:rsid w:val="000059E2"/>
    <w:rsid w:val="00034EC3"/>
    <w:rsid w:val="00052F71"/>
    <w:rsid w:val="000B7DD7"/>
    <w:rsid w:val="000E14F0"/>
    <w:rsid w:val="000E33E4"/>
    <w:rsid w:val="000F46A3"/>
    <w:rsid w:val="00111D19"/>
    <w:rsid w:val="0012699A"/>
    <w:rsid w:val="001313D2"/>
    <w:rsid w:val="001336F8"/>
    <w:rsid w:val="00137283"/>
    <w:rsid w:val="00163AF2"/>
    <w:rsid w:val="0016767E"/>
    <w:rsid w:val="001876B4"/>
    <w:rsid w:val="001940D6"/>
    <w:rsid w:val="001977F7"/>
    <w:rsid w:val="001D5B39"/>
    <w:rsid w:val="001E5CB3"/>
    <w:rsid w:val="001F6ACF"/>
    <w:rsid w:val="002522F4"/>
    <w:rsid w:val="00292AEC"/>
    <w:rsid w:val="002A2064"/>
    <w:rsid w:val="002C2FD1"/>
    <w:rsid w:val="002E5640"/>
    <w:rsid w:val="00301F9D"/>
    <w:rsid w:val="003069CA"/>
    <w:rsid w:val="003600DC"/>
    <w:rsid w:val="003609A8"/>
    <w:rsid w:val="00392EE6"/>
    <w:rsid w:val="00395FE6"/>
    <w:rsid w:val="003A7AEE"/>
    <w:rsid w:val="003B08AF"/>
    <w:rsid w:val="003B3556"/>
    <w:rsid w:val="003C66D1"/>
    <w:rsid w:val="00404B46"/>
    <w:rsid w:val="00405356"/>
    <w:rsid w:val="00476FD6"/>
    <w:rsid w:val="004826A3"/>
    <w:rsid w:val="004F6A96"/>
    <w:rsid w:val="0050443D"/>
    <w:rsid w:val="00507062"/>
    <w:rsid w:val="00515775"/>
    <w:rsid w:val="00520DEE"/>
    <w:rsid w:val="00526821"/>
    <w:rsid w:val="00554ED1"/>
    <w:rsid w:val="005841FD"/>
    <w:rsid w:val="00593028"/>
    <w:rsid w:val="005B22EC"/>
    <w:rsid w:val="0061701E"/>
    <w:rsid w:val="006520E3"/>
    <w:rsid w:val="00666FE1"/>
    <w:rsid w:val="0067731C"/>
    <w:rsid w:val="006A267C"/>
    <w:rsid w:val="00721CF0"/>
    <w:rsid w:val="00734E90"/>
    <w:rsid w:val="007D3680"/>
    <w:rsid w:val="007F12CF"/>
    <w:rsid w:val="00896BC1"/>
    <w:rsid w:val="008E2E96"/>
    <w:rsid w:val="009079A2"/>
    <w:rsid w:val="009130C4"/>
    <w:rsid w:val="00941B09"/>
    <w:rsid w:val="00982015"/>
    <w:rsid w:val="00987ED5"/>
    <w:rsid w:val="00991B5E"/>
    <w:rsid w:val="00993A17"/>
    <w:rsid w:val="009A282F"/>
    <w:rsid w:val="009C163D"/>
    <w:rsid w:val="00A23F9A"/>
    <w:rsid w:val="00A42457"/>
    <w:rsid w:val="00A82E29"/>
    <w:rsid w:val="00AA7DF4"/>
    <w:rsid w:val="00AE319B"/>
    <w:rsid w:val="00AE63AF"/>
    <w:rsid w:val="00B11784"/>
    <w:rsid w:val="00B17011"/>
    <w:rsid w:val="00B17AAA"/>
    <w:rsid w:val="00B30799"/>
    <w:rsid w:val="00B928F1"/>
    <w:rsid w:val="00B959C2"/>
    <w:rsid w:val="00BD5C79"/>
    <w:rsid w:val="00BD7EF4"/>
    <w:rsid w:val="00BE6FB8"/>
    <w:rsid w:val="00C12A67"/>
    <w:rsid w:val="00C148AF"/>
    <w:rsid w:val="00C35123"/>
    <w:rsid w:val="00C521C8"/>
    <w:rsid w:val="00C61AD4"/>
    <w:rsid w:val="00C83A18"/>
    <w:rsid w:val="00CB3138"/>
    <w:rsid w:val="00CC249D"/>
    <w:rsid w:val="00CF4247"/>
    <w:rsid w:val="00D12CC6"/>
    <w:rsid w:val="00D147DB"/>
    <w:rsid w:val="00D21D4B"/>
    <w:rsid w:val="00D3650E"/>
    <w:rsid w:val="00D366BC"/>
    <w:rsid w:val="00DA594C"/>
    <w:rsid w:val="00DB754F"/>
    <w:rsid w:val="00E8539B"/>
    <w:rsid w:val="00EA0147"/>
    <w:rsid w:val="00EA19D0"/>
    <w:rsid w:val="00EA396C"/>
    <w:rsid w:val="00EB5063"/>
    <w:rsid w:val="00F07EB5"/>
    <w:rsid w:val="00F73D92"/>
    <w:rsid w:val="00FA0450"/>
    <w:rsid w:val="00FB599E"/>
    <w:rsid w:val="00FC56A8"/>
    <w:rsid w:val="00FE7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31D562-2B97-47B0-A804-39A9B3F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E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6520E3"/>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link w:val="Ttulo2Car"/>
    <w:qFormat/>
    <w:rsid w:val="006520E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6520E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520E3"/>
    <w:pPr>
      <w:keepNext/>
      <w:spacing w:before="240" w:after="60"/>
      <w:outlineLvl w:val="3"/>
    </w:pPr>
    <w:rPr>
      <w:b/>
      <w:bCs/>
      <w:sz w:val="28"/>
      <w:szCs w:val="28"/>
    </w:rPr>
  </w:style>
  <w:style w:type="paragraph" w:styleId="Ttulo5">
    <w:name w:val="heading 5"/>
    <w:basedOn w:val="Normal"/>
    <w:next w:val="Normal"/>
    <w:link w:val="Ttulo5Car"/>
    <w:qFormat/>
    <w:rsid w:val="006520E3"/>
    <w:pPr>
      <w:keepNext/>
      <w:outlineLvl w:val="4"/>
    </w:pPr>
    <w:rPr>
      <w:rFonts w:ascii="Arial" w:hAnsi="Arial"/>
      <w:b/>
      <w:color w:val="000080"/>
      <w:sz w:val="14"/>
      <w:szCs w:val="20"/>
      <w:lang w:val="es-ES" w:eastAsia="es-ES"/>
    </w:rPr>
  </w:style>
  <w:style w:type="paragraph" w:styleId="Ttulo6">
    <w:name w:val="heading 6"/>
    <w:basedOn w:val="Normal"/>
    <w:next w:val="Normal"/>
    <w:link w:val="Ttulo6Car"/>
    <w:qFormat/>
    <w:rsid w:val="006520E3"/>
    <w:pPr>
      <w:keepNext/>
      <w:outlineLvl w:val="5"/>
    </w:pPr>
    <w:rPr>
      <w:rFonts w:ascii="Arial" w:hAnsi="Arial"/>
      <w:b/>
      <w:color w:val="000080"/>
      <w:sz w:val="12"/>
      <w:szCs w:val="20"/>
      <w:lang w:val="es-ES" w:eastAsia="es-ES"/>
    </w:rPr>
  </w:style>
  <w:style w:type="paragraph" w:styleId="Ttulo7">
    <w:name w:val="heading 7"/>
    <w:basedOn w:val="Normal"/>
    <w:next w:val="Normal"/>
    <w:link w:val="Ttulo7Car"/>
    <w:qFormat/>
    <w:rsid w:val="006520E3"/>
    <w:pPr>
      <w:keepNext/>
      <w:spacing w:after="60"/>
      <w:jc w:val="center"/>
      <w:outlineLvl w:val="6"/>
    </w:pPr>
    <w:rPr>
      <w:rFonts w:ascii="Arial" w:hAnsi="Arial" w:cs="Arial"/>
      <w:b/>
      <w:bCs/>
      <w:sz w:val="20"/>
      <w:lang w:val="es-ES" w:eastAsia="es-ES"/>
    </w:rPr>
  </w:style>
  <w:style w:type="paragraph" w:styleId="Ttulo8">
    <w:name w:val="heading 8"/>
    <w:basedOn w:val="Normal"/>
    <w:next w:val="Normal"/>
    <w:link w:val="Ttulo8Car"/>
    <w:qFormat/>
    <w:rsid w:val="006520E3"/>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link w:val="Ttulo9Car"/>
    <w:qFormat/>
    <w:rsid w:val="006520E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20E3"/>
    <w:rPr>
      <w:rFonts w:ascii="Arial" w:eastAsia="Times New Roman" w:hAnsi="Arial" w:cs="Times New Roman"/>
      <w:b/>
      <w:spacing w:val="-3"/>
      <w:sz w:val="20"/>
      <w:szCs w:val="20"/>
      <w:lang w:eastAsia="es-ES"/>
    </w:rPr>
  </w:style>
  <w:style w:type="character" w:customStyle="1" w:styleId="Ttulo2Car">
    <w:name w:val="Título 2 Car"/>
    <w:basedOn w:val="Fuentedeprrafopredeter"/>
    <w:link w:val="Ttulo2"/>
    <w:rsid w:val="006520E3"/>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6520E3"/>
    <w:rPr>
      <w:rFonts w:ascii="Arial" w:eastAsia="Times New Roman" w:hAnsi="Arial" w:cs="Arial"/>
      <w:b/>
      <w:bCs/>
      <w:sz w:val="26"/>
      <w:szCs w:val="26"/>
      <w:lang w:eastAsia="es-MX"/>
    </w:rPr>
  </w:style>
  <w:style w:type="character" w:customStyle="1" w:styleId="Ttulo4Car">
    <w:name w:val="Título 4 Car"/>
    <w:basedOn w:val="Fuentedeprrafopredeter"/>
    <w:link w:val="Ttulo4"/>
    <w:rsid w:val="006520E3"/>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6520E3"/>
    <w:rPr>
      <w:rFonts w:ascii="Arial" w:eastAsia="Times New Roman" w:hAnsi="Arial" w:cs="Times New Roman"/>
      <w:b/>
      <w:color w:val="000080"/>
      <w:sz w:val="14"/>
      <w:szCs w:val="20"/>
      <w:lang w:val="es-ES" w:eastAsia="es-ES"/>
    </w:rPr>
  </w:style>
  <w:style w:type="character" w:customStyle="1" w:styleId="Ttulo6Car">
    <w:name w:val="Título 6 Car"/>
    <w:basedOn w:val="Fuentedeprrafopredeter"/>
    <w:link w:val="Ttulo6"/>
    <w:rsid w:val="006520E3"/>
    <w:rPr>
      <w:rFonts w:ascii="Arial" w:eastAsia="Times New Roman" w:hAnsi="Arial" w:cs="Times New Roman"/>
      <w:b/>
      <w:color w:val="000080"/>
      <w:sz w:val="12"/>
      <w:szCs w:val="20"/>
      <w:lang w:val="es-ES" w:eastAsia="es-ES"/>
    </w:rPr>
  </w:style>
  <w:style w:type="character" w:customStyle="1" w:styleId="Ttulo7Car">
    <w:name w:val="Título 7 Car"/>
    <w:basedOn w:val="Fuentedeprrafopredeter"/>
    <w:link w:val="Ttulo7"/>
    <w:rsid w:val="006520E3"/>
    <w:rPr>
      <w:rFonts w:ascii="Arial" w:eastAsia="Times New Roman" w:hAnsi="Arial" w:cs="Arial"/>
      <w:b/>
      <w:bCs/>
      <w:sz w:val="20"/>
      <w:szCs w:val="24"/>
      <w:lang w:val="es-ES" w:eastAsia="es-ES"/>
    </w:rPr>
  </w:style>
  <w:style w:type="character" w:customStyle="1" w:styleId="Ttulo8Car">
    <w:name w:val="Título 8 Car"/>
    <w:basedOn w:val="Fuentedeprrafopredeter"/>
    <w:link w:val="Ttulo8"/>
    <w:rsid w:val="006520E3"/>
    <w:rPr>
      <w:rFonts w:ascii="Arial" w:eastAsia="Times New Roman" w:hAnsi="Arial" w:cs="Arial"/>
      <w:b/>
      <w:bCs/>
      <w:sz w:val="16"/>
      <w:szCs w:val="24"/>
      <w:lang w:val="es-ES" w:eastAsia="es-ES"/>
    </w:rPr>
  </w:style>
  <w:style w:type="character" w:customStyle="1" w:styleId="Ttulo9Car">
    <w:name w:val="Título 9 Car"/>
    <w:basedOn w:val="Fuentedeprrafopredeter"/>
    <w:link w:val="Ttulo9"/>
    <w:rsid w:val="006520E3"/>
    <w:rPr>
      <w:rFonts w:ascii="Arial" w:eastAsia="Times New Roman" w:hAnsi="Arial" w:cs="Arial"/>
      <w:lang w:eastAsia="es-MX"/>
    </w:rPr>
  </w:style>
  <w:style w:type="paragraph" w:styleId="Encabezado">
    <w:name w:val="header"/>
    <w:basedOn w:val="Normal"/>
    <w:link w:val="EncabezadoCar"/>
    <w:rsid w:val="006520E3"/>
    <w:pPr>
      <w:tabs>
        <w:tab w:val="center" w:pos="4419"/>
        <w:tab w:val="right" w:pos="8838"/>
      </w:tabs>
    </w:pPr>
  </w:style>
  <w:style w:type="character" w:customStyle="1" w:styleId="EncabezadoCar">
    <w:name w:val="Encabezado Car"/>
    <w:basedOn w:val="Fuentedeprrafopredeter"/>
    <w:link w:val="Encabezado"/>
    <w:rsid w:val="006520E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6520E3"/>
    <w:pPr>
      <w:tabs>
        <w:tab w:val="center" w:pos="4419"/>
        <w:tab w:val="right" w:pos="8838"/>
      </w:tabs>
    </w:pPr>
  </w:style>
  <w:style w:type="character" w:customStyle="1" w:styleId="PiedepginaCar">
    <w:name w:val="Pie de página Car"/>
    <w:basedOn w:val="Fuentedeprrafopredeter"/>
    <w:link w:val="Piedepgina"/>
    <w:uiPriority w:val="99"/>
    <w:rsid w:val="006520E3"/>
    <w:rPr>
      <w:rFonts w:ascii="Times New Roman" w:eastAsia="Times New Roman" w:hAnsi="Times New Roman" w:cs="Times New Roman"/>
      <w:sz w:val="24"/>
      <w:szCs w:val="24"/>
      <w:lang w:eastAsia="es-MX"/>
    </w:rPr>
  </w:style>
  <w:style w:type="character" w:styleId="Nmerodepgina">
    <w:name w:val="page number"/>
    <w:basedOn w:val="Fuentedeprrafopredeter"/>
    <w:rsid w:val="006520E3"/>
  </w:style>
  <w:style w:type="paragraph" w:styleId="Textoindependiente">
    <w:name w:val="Body Text"/>
    <w:basedOn w:val="Normal"/>
    <w:link w:val="TextoindependienteCar"/>
    <w:rsid w:val="006520E3"/>
    <w:pPr>
      <w:suppressAutoHyphens/>
      <w:spacing w:before="200" w:line="320" w:lineRule="atLeast"/>
      <w:jc w:val="both"/>
    </w:pPr>
    <w:rPr>
      <w:rFonts w:ascii="Arial" w:hAnsi="Arial"/>
      <w:sz w:val="22"/>
      <w:szCs w:val="20"/>
      <w:lang w:eastAsia="es-ES"/>
    </w:rPr>
  </w:style>
  <w:style w:type="character" w:customStyle="1" w:styleId="TextoindependienteCar">
    <w:name w:val="Texto independiente Car"/>
    <w:basedOn w:val="Fuentedeprrafopredeter"/>
    <w:link w:val="Textoindependiente"/>
    <w:rsid w:val="006520E3"/>
    <w:rPr>
      <w:rFonts w:ascii="Arial" w:eastAsia="Times New Roman" w:hAnsi="Arial" w:cs="Times New Roman"/>
      <w:szCs w:val="20"/>
      <w:lang w:eastAsia="es-ES"/>
    </w:rPr>
  </w:style>
  <w:style w:type="paragraph" w:styleId="Textoindependiente2">
    <w:name w:val="Body Text 2"/>
    <w:basedOn w:val="Normal"/>
    <w:link w:val="Textoindependiente2Car"/>
    <w:uiPriority w:val="99"/>
    <w:rsid w:val="006520E3"/>
    <w:pPr>
      <w:jc w:val="both"/>
    </w:pPr>
    <w:rPr>
      <w:rFonts w:ascii="Arial" w:hAnsi="Arial"/>
      <w:sz w:val="20"/>
      <w:szCs w:val="20"/>
      <w:lang w:val="es-ES" w:eastAsia="es-ES"/>
    </w:rPr>
  </w:style>
  <w:style w:type="character" w:customStyle="1" w:styleId="Textoindependiente2Car">
    <w:name w:val="Texto independiente 2 Car"/>
    <w:basedOn w:val="Fuentedeprrafopredeter"/>
    <w:link w:val="Textoindependiente2"/>
    <w:uiPriority w:val="99"/>
    <w:rsid w:val="006520E3"/>
    <w:rPr>
      <w:rFonts w:ascii="Arial" w:eastAsia="Times New Roman" w:hAnsi="Arial" w:cs="Times New Roman"/>
      <w:sz w:val="20"/>
      <w:szCs w:val="20"/>
      <w:lang w:val="es-ES" w:eastAsia="es-ES"/>
    </w:rPr>
  </w:style>
  <w:style w:type="paragraph" w:customStyle="1" w:styleId="E01-IIIIII">
    <w:name w:val="E01 - I  II  III"/>
    <w:rsid w:val="006520E3"/>
    <w:pPr>
      <w:keepLines/>
      <w:widowControl w:val="0"/>
      <w:tabs>
        <w:tab w:val="left" w:pos="454"/>
      </w:tabs>
      <w:spacing w:after="0" w:line="240" w:lineRule="auto"/>
      <w:ind w:left="454" w:hanging="454"/>
      <w:outlineLvl w:val="0"/>
    </w:pPr>
    <w:rPr>
      <w:rFonts w:ascii="Arial" w:eastAsia="Times New Roman" w:hAnsi="Arial" w:cs="Times New Roman"/>
      <w:b/>
      <w:color w:val="000000"/>
      <w:sz w:val="20"/>
      <w:szCs w:val="20"/>
      <w:bdr w:val="single" w:sz="4" w:space="0" w:color="auto"/>
      <w:shd w:val="pct25" w:color="auto" w:fill="auto"/>
      <w:lang w:val="es-ES" w:eastAsia="es-ES"/>
    </w:rPr>
  </w:style>
  <w:style w:type="paragraph" w:styleId="Textoindependiente3">
    <w:name w:val="Body Text 3"/>
    <w:basedOn w:val="Normal"/>
    <w:link w:val="Textoindependiente3Car"/>
    <w:rsid w:val="006520E3"/>
    <w:pPr>
      <w:spacing w:after="120"/>
    </w:pPr>
    <w:rPr>
      <w:sz w:val="16"/>
      <w:szCs w:val="16"/>
    </w:rPr>
  </w:style>
  <w:style w:type="character" w:customStyle="1" w:styleId="Textoindependiente3Car">
    <w:name w:val="Texto independiente 3 Car"/>
    <w:basedOn w:val="Fuentedeprrafopredeter"/>
    <w:link w:val="Textoindependiente3"/>
    <w:rsid w:val="006520E3"/>
    <w:rPr>
      <w:rFonts w:ascii="Times New Roman" w:eastAsia="Times New Roman" w:hAnsi="Times New Roman" w:cs="Times New Roman"/>
      <w:sz w:val="16"/>
      <w:szCs w:val="16"/>
      <w:lang w:eastAsia="es-MX"/>
    </w:rPr>
  </w:style>
  <w:style w:type="paragraph" w:customStyle="1" w:styleId="xl15">
    <w:name w:val="xl15"/>
    <w:basedOn w:val="Normal"/>
    <w:rsid w:val="006520E3"/>
    <w:pPr>
      <w:spacing w:before="100" w:after="100"/>
      <w:textAlignment w:val="bottom"/>
    </w:pPr>
    <w:rPr>
      <w:rFonts w:ascii="Arial" w:hAnsi="Arial"/>
      <w:sz w:val="20"/>
      <w:szCs w:val="20"/>
      <w:lang w:val="es-ES" w:eastAsia="es-ES"/>
    </w:rPr>
  </w:style>
  <w:style w:type="paragraph" w:customStyle="1" w:styleId="bala11pts">
    <w:name w:val="bala/11 pts"/>
    <w:basedOn w:val="Normal"/>
    <w:rsid w:val="006520E3"/>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link w:val="SubttuloCar"/>
    <w:qFormat/>
    <w:rsid w:val="006520E3"/>
    <w:pPr>
      <w:keepLines/>
      <w:widowControl w:val="0"/>
      <w:jc w:val="center"/>
    </w:pPr>
    <w:rPr>
      <w:rFonts w:ascii="Arial" w:hAnsi="Arial"/>
      <w:b/>
      <w:sz w:val="20"/>
      <w:lang w:eastAsia="es-ES"/>
    </w:rPr>
  </w:style>
  <w:style w:type="character" w:customStyle="1" w:styleId="SubttuloCar">
    <w:name w:val="Subtítulo Car"/>
    <w:basedOn w:val="Fuentedeprrafopredeter"/>
    <w:link w:val="Subttulo"/>
    <w:rsid w:val="006520E3"/>
    <w:rPr>
      <w:rFonts w:ascii="Arial" w:eastAsia="Times New Roman" w:hAnsi="Arial" w:cs="Times New Roman"/>
      <w:b/>
      <w:sz w:val="20"/>
      <w:szCs w:val="24"/>
      <w:lang w:eastAsia="es-ES"/>
    </w:rPr>
  </w:style>
  <w:style w:type="paragraph" w:styleId="Puesto">
    <w:name w:val="Title"/>
    <w:basedOn w:val="Normal"/>
    <w:link w:val="PuestoCar"/>
    <w:qFormat/>
    <w:rsid w:val="006520E3"/>
    <w:pPr>
      <w:jc w:val="center"/>
    </w:pPr>
    <w:rPr>
      <w:rFonts w:ascii="Arial" w:hAnsi="Arial"/>
      <w:b/>
      <w:sz w:val="20"/>
      <w:szCs w:val="20"/>
      <w:lang w:eastAsia="es-ES"/>
    </w:rPr>
  </w:style>
  <w:style w:type="character" w:customStyle="1" w:styleId="PuestoCar">
    <w:name w:val="Puesto Car"/>
    <w:basedOn w:val="Fuentedeprrafopredeter"/>
    <w:link w:val="Puesto"/>
    <w:rsid w:val="006520E3"/>
    <w:rPr>
      <w:rFonts w:ascii="Arial" w:eastAsia="Times New Roman" w:hAnsi="Arial" w:cs="Times New Roman"/>
      <w:b/>
      <w:sz w:val="20"/>
      <w:szCs w:val="20"/>
      <w:lang w:eastAsia="es-ES"/>
    </w:rPr>
  </w:style>
  <w:style w:type="paragraph" w:customStyle="1" w:styleId="PARRAFO-SIN">
    <w:name w:val="PARRAFO-SIN"/>
    <w:basedOn w:val="Normal"/>
    <w:rsid w:val="006520E3"/>
    <w:pPr>
      <w:spacing w:before="60" w:line="300" w:lineRule="exact"/>
      <w:jc w:val="both"/>
    </w:pPr>
    <w:rPr>
      <w:sz w:val="22"/>
      <w:szCs w:val="20"/>
      <w:lang w:eastAsia="es-ES"/>
    </w:rPr>
  </w:style>
  <w:style w:type="paragraph" w:customStyle="1" w:styleId="5">
    <w:name w:val="5"/>
    <w:basedOn w:val="Normal"/>
    <w:next w:val="Sangradetextonormal"/>
    <w:rsid w:val="006520E3"/>
    <w:pPr>
      <w:ind w:left="567"/>
      <w:jc w:val="both"/>
    </w:pPr>
    <w:rPr>
      <w:rFonts w:ascii="Arial" w:hAnsi="Arial"/>
      <w:sz w:val="20"/>
      <w:lang w:val="es-ES" w:eastAsia="es-ES"/>
    </w:rPr>
  </w:style>
  <w:style w:type="paragraph" w:styleId="Sangradetextonormal">
    <w:name w:val="Body Text Indent"/>
    <w:basedOn w:val="Normal"/>
    <w:link w:val="SangradetextonormalCar"/>
    <w:rsid w:val="006520E3"/>
    <w:pPr>
      <w:spacing w:after="120"/>
      <w:ind w:left="283"/>
    </w:pPr>
  </w:style>
  <w:style w:type="character" w:customStyle="1" w:styleId="SangradetextonormalCar">
    <w:name w:val="Sangría de texto normal Car"/>
    <w:basedOn w:val="Fuentedeprrafopredeter"/>
    <w:link w:val="Sangradetextonormal"/>
    <w:rsid w:val="006520E3"/>
    <w:rPr>
      <w:rFonts w:ascii="Times New Roman" w:eastAsia="Times New Roman" w:hAnsi="Times New Roman" w:cs="Times New Roman"/>
      <w:sz w:val="24"/>
      <w:szCs w:val="24"/>
      <w:lang w:eastAsia="es-MX"/>
    </w:rPr>
  </w:style>
  <w:style w:type="paragraph" w:customStyle="1" w:styleId="Texto">
    <w:name w:val="Texto"/>
    <w:rsid w:val="006520E3"/>
    <w:pPr>
      <w:spacing w:after="360" w:line="360" w:lineRule="auto"/>
      <w:ind w:left="144" w:right="144"/>
      <w:jc w:val="both"/>
    </w:pPr>
    <w:rPr>
      <w:rFonts w:ascii="Helvetica" w:eastAsia="Times New Roman" w:hAnsi="Helvetica" w:cs="Times New Roman"/>
      <w:szCs w:val="20"/>
      <w:lang w:val="es-ES_tradnl" w:eastAsia="es-ES"/>
    </w:rPr>
  </w:style>
  <w:style w:type="paragraph" w:customStyle="1" w:styleId="Textoindependiente31">
    <w:name w:val="Texto independiente 31"/>
    <w:basedOn w:val="Normal"/>
    <w:rsid w:val="006520E3"/>
    <w:pPr>
      <w:widowControl w:val="0"/>
      <w:jc w:val="both"/>
    </w:pPr>
    <w:rPr>
      <w:rFonts w:ascii="CG Times" w:hAnsi="CG Times"/>
      <w:szCs w:val="20"/>
      <w:lang w:eastAsia="es-ES"/>
    </w:rPr>
  </w:style>
  <w:style w:type="paragraph" w:customStyle="1" w:styleId="VIETABLANCA">
    <w:name w:val="_VIÑETA BLANCA"/>
    <w:basedOn w:val="Normal"/>
    <w:rsid w:val="006520E3"/>
    <w:pPr>
      <w:numPr>
        <w:numId w:val="2"/>
      </w:numPr>
      <w:spacing w:before="120" w:after="120" w:line="240" w:lineRule="exact"/>
      <w:jc w:val="both"/>
    </w:pPr>
    <w:rPr>
      <w:sz w:val="22"/>
      <w:lang w:val="es-ES" w:eastAsia="es-ES"/>
    </w:rPr>
  </w:style>
  <w:style w:type="character" w:customStyle="1" w:styleId="SIGLAS">
    <w:name w:val="_SIGLAS"/>
    <w:rsid w:val="006520E3"/>
    <w:rPr>
      <w:caps/>
      <w:sz w:val="20"/>
    </w:rPr>
  </w:style>
  <w:style w:type="paragraph" w:styleId="Textodebloque">
    <w:name w:val="Block Text"/>
    <w:basedOn w:val="Normal"/>
    <w:rsid w:val="006520E3"/>
    <w:pPr>
      <w:ind w:left="85" w:right="85"/>
      <w:jc w:val="both"/>
    </w:pPr>
    <w:rPr>
      <w:rFonts w:ascii="Arial" w:hAnsi="Arial" w:cs="Arial"/>
      <w:bCs/>
      <w:sz w:val="20"/>
      <w:lang w:val="es-ES" w:eastAsia="es-ES"/>
    </w:rPr>
  </w:style>
  <w:style w:type="paragraph" w:customStyle="1" w:styleId="Textoindependiente21">
    <w:name w:val="Texto independiente 21"/>
    <w:basedOn w:val="Normal"/>
    <w:rsid w:val="006520E3"/>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6520E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6520E3"/>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6520E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6520E3"/>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6520E3"/>
    <w:pPr>
      <w:jc w:val="both"/>
    </w:pPr>
    <w:rPr>
      <w:rFonts w:ascii="Arial" w:hAnsi="Arial"/>
      <w:sz w:val="20"/>
      <w:szCs w:val="20"/>
      <w:lang w:val="es-ES_tradnl" w:eastAsia="es-ES"/>
    </w:rPr>
  </w:style>
  <w:style w:type="paragraph" w:customStyle="1" w:styleId="Encabezado4">
    <w:name w:val="Encabezado4"/>
    <w:basedOn w:val="Normal"/>
    <w:rsid w:val="006520E3"/>
    <w:pPr>
      <w:spacing w:after="240"/>
    </w:pPr>
    <w:rPr>
      <w:rFonts w:ascii="Arial Narrow" w:hAnsi="Arial Narrow"/>
      <w:caps/>
      <w:sz w:val="20"/>
      <w:szCs w:val="20"/>
      <w:lang w:val="es-ES_tradnl" w:eastAsia="es-ES"/>
    </w:rPr>
  </w:style>
  <w:style w:type="paragraph" w:styleId="Continuarlista">
    <w:name w:val="List Continue"/>
    <w:basedOn w:val="Normal"/>
    <w:rsid w:val="006520E3"/>
    <w:pPr>
      <w:spacing w:after="120"/>
      <w:ind w:left="283"/>
    </w:pPr>
    <w:rPr>
      <w:rFonts w:ascii="Arial" w:hAnsi="Arial"/>
      <w:szCs w:val="20"/>
      <w:lang w:val="es-ES_tradnl" w:eastAsia="es-ES"/>
    </w:rPr>
  </w:style>
  <w:style w:type="paragraph" w:styleId="Sangra2detindependiente">
    <w:name w:val="Body Text Indent 2"/>
    <w:basedOn w:val="Normal"/>
    <w:link w:val="Sangra2detindependienteCar"/>
    <w:rsid w:val="006520E3"/>
    <w:pPr>
      <w:ind w:left="3420" w:hanging="3420"/>
      <w:jc w:val="both"/>
    </w:pPr>
    <w:rPr>
      <w:lang w:val="es-ES" w:eastAsia="es-ES"/>
    </w:rPr>
  </w:style>
  <w:style w:type="character" w:customStyle="1" w:styleId="Sangra2detindependienteCar">
    <w:name w:val="Sangría 2 de t. independiente Car"/>
    <w:basedOn w:val="Fuentedeprrafopredeter"/>
    <w:link w:val="Sangra2detindependiente"/>
    <w:rsid w:val="006520E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6520E3"/>
    <w:pPr>
      <w:ind w:left="3060" w:hanging="3060"/>
      <w:jc w:val="both"/>
    </w:pPr>
    <w:rPr>
      <w:rFonts w:ascii="Arial" w:hAnsi="Arial" w:cs="Arial"/>
      <w:i/>
      <w:sz w:val="20"/>
      <w:lang w:val="es-ES" w:eastAsia="es-ES"/>
    </w:rPr>
  </w:style>
  <w:style w:type="character" w:customStyle="1" w:styleId="Sangra3detindependienteCar">
    <w:name w:val="Sangría 3 de t. independiente Car"/>
    <w:basedOn w:val="Fuentedeprrafopredeter"/>
    <w:link w:val="Sangra3detindependiente"/>
    <w:rsid w:val="006520E3"/>
    <w:rPr>
      <w:rFonts w:ascii="Arial" w:eastAsia="Times New Roman" w:hAnsi="Arial" w:cs="Arial"/>
      <w:i/>
      <w:sz w:val="20"/>
      <w:szCs w:val="24"/>
      <w:lang w:val="es-ES" w:eastAsia="es-ES"/>
    </w:rPr>
  </w:style>
  <w:style w:type="paragraph" w:customStyle="1" w:styleId="xl25">
    <w:name w:val="xl25"/>
    <w:basedOn w:val="Normal"/>
    <w:rsid w:val="006520E3"/>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6520E3"/>
    <w:pPr>
      <w:spacing w:after="0" w:line="240" w:lineRule="auto"/>
      <w:jc w:val="both"/>
      <w:outlineLvl w:val="1"/>
    </w:pPr>
    <w:rPr>
      <w:rFonts w:ascii="Arial" w:eastAsia="Times New Roman" w:hAnsi="Arial" w:cs="Times New Roman"/>
      <w:b/>
      <w:color w:val="000000"/>
      <w:sz w:val="20"/>
      <w:szCs w:val="20"/>
      <w:lang w:val="es-ES" w:eastAsia="es-ES"/>
    </w:rPr>
  </w:style>
  <w:style w:type="paragraph" w:customStyle="1" w:styleId="E03-III1III2">
    <w:name w:val="E03 - III.1   III.2"/>
    <w:rsid w:val="006520E3"/>
    <w:pPr>
      <w:tabs>
        <w:tab w:val="left" w:pos="539"/>
      </w:tabs>
      <w:spacing w:after="0" w:line="240" w:lineRule="auto"/>
      <w:ind w:left="539" w:hanging="539"/>
      <w:outlineLvl w:val="0"/>
    </w:pPr>
    <w:rPr>
      <w:rFonts w:ascii="Arial" w:eastAsia="Times New Roman" w:hAnsi="Arial" w:cs="Times New Roman"/>
      <w:b/>
      <w:caps/>
      <w:color w:val="000000"/>
      <w:sz w:val="20"/>
      <w:szCs w:val="20"/>
      <w:lang w:val="es-ES" w:eastAsia="es-ES"/>
    </w:rPr>
  </w:style>
  <w:style w:type="paragraph" w:customStyle="1" w:styleId="E04-TemasIII1">
    <w:name w:val="E04 - Temas  III.1"/>
    <w:rsid w:val="006520E3"/>
    <w:pPr>
      <w:spacing w:after="0" w:line="240" w:lineRule="auto"/>
      <w:outlineLvl w:val="1"/>
    </w:pPr>
    <w:rPr>
      <w:rFonts w:ascii="Arial" w:eastAsia="Times New Roman" w:hAnsi="Arial" w:cs="Times New Roman"/>
      <w:b/>
      <w:caps/>
      <w:color w:val="000000"/>
      <w:sz w:val="20"/>
      <w:szCs w:val="20"/>
      <w:lang w:val="es-ES" w:eastAsia="es-ES"/>
    </w:rPr>
  </w:style>
  <w:style w:type="paragraph" w:customStyle="1" w:styleId="E05-Funcin">
    <w:name w:val="E05 - Función"/>
    <w:rsid w:val="006520E3"/>
    <w:pPr>
      <w:tabs>
        <w:tab w:val="left" w:pos="1162"/>
      </w:tabs>
      <w:spacing w:after="0" w:line="240" w:lineRule="auto"/>
      <w:ind w:left="1162" w:hanging="1162"/>
      <w:outlineLvl w:val="2"/>
    </w:pPr>
    <w:rPr>
      <w:rFonts w:ascii="Arial" w:eastAsia="Times New Roman" w:hAnsi="Arial" w:cs="Times New Roman"/>
      <w:b/>
      <w:color w:val="000000"/>
      <w:sz w:val="20"/>
      <w:szCs w:val="20"/>
      <w:lang w:val="es-ES" w:eastAsia="es-ES"/>
    </w:rPr>
  </w:style>
  <w:style w:type="paragraph" w:customStyle="1" w:styleId="E06-Subfuncin">
    <w:name w:val="E06 - Subfunción"/>
    <w:rsid w:val="006520E3"/>
    <w:pPr>
      <w:tabs>
        <w:tab w:val="left" w:pos="1559"/>
      </w:tabs>
      <w:spacing w:after="0" w:line="240" w:lineRule="auto"/>
      <w:ind w:left="1559" w:hanging="1559"/>
      <w:jc w:val="both"/>
      <w:outlineLvl w:val="3"/>
    </w:pPr>
    <w:rPr>
      <w:rFonts w:ascii="Arial" w:eastAsia="Times New Roman" w:hAnsi="Arial" w:cs="Times New Roman"/>
      <w:color w:val="000000"/>
      <w:sz w:val="20"/>
      <w:szCs w:val="20"/>
      <w:lang w:val="es-ES" w:eastAsia="es-ES"/>
    </w:rPr>
  </w:style>
  <w:style w:type="paragraph" w:customStyle="1" w:styleId="E07-ProgramaEspecial">
    <w:name w:val="E07 - Programa Especial"/>
    <w:rsid w:val="006520E3"/>
    <w:pPr>
      <w:tabs>
        <w:tab w:val="left" w:pos="2410"/>
      </w:tabs>
      <w:spacing w:after="0" w:line="240" w:lineRule="auto"/>
      <w:ind w:left="2410" w:hanging="2410"/>
      <w:jc w:val="both"/>
      <w:outlineLvl w:val="4"/>
    </w:pPr>
    <w:rPr>
      <w:rFonts w:ascii="Arial" w:eastAsia="Times New Roman" w:hAnsi="Arial" w:cs="Times New Roman"/>
      <w:color w:val="000000"/>
      <w:sz w:val="20"/>
      <w:szCs w:val="20"/>
      <w:lang w:val="es-ES" w:eastAsia="es-ES"/>
    </w:rPr>
  </w:style>
  <w:style w:type="paragraph" w:customStyle="1" w:styleId="E08-ActividadInstitucional">
    <w:name w:val="E08 - Actividad Institucional"/>
    <w:rsid w:val="006520E3"/>
    <w:pPr>
      <w:tabs>
        <w:tab w:val="left" w:pos="2835"/>
      </w:tabs>
      <w:spacing w:after="0" w:line="240" w:lineRule="auto"/>
      <w:ind w:left="2835" w:hanging="2835"/>
      <w:jc w:val="both"/>
      <w:outlineLvl w:val="5"/>
    </w:pPr>
    <w:rPr>
      <w:rFonts w:ascii="Arial" w:eastAsia="Times New Roman" w:hAnsi="Arial" w:cs="Times New Roman"/>
      <w:color w:val="000000"/>
      <w:sz w:val="20"/>
      <w:szCs w:val="20"/>
      <w:lang w:val="es-ES" w:eastAsia="es-ES"/>
    </w:rPr>
  </w:style>
  <w:style w:type="paragraph" w:customStyle="1" w:styleId="E09-Proyecto">
    <w:name w:val="E09 - Proyecto"/>
    <w:rsid w:val="006520E3"/>
    <w:pPr>
      <w:tabs>
        <w:tab w:val="left" w:pos="1361"/>
      </w:tabs>
      <w:spacing w:after="0" w:line="240" w:lineRule="auto"/>
      <w:ind w:left="1361" w:hanging="1361"/>
      <w:jc w:val="both"/>
      <w:outlineLvl w:val="6"/>
    </w:pPr>
    <w:rPr>
      <w:rFonts w:ascii="Arial" w:eastAsia="Times New Roman" w:hAnsi="Arial" w:cs="Times New Roman"/>
      <w:color w:val="000000"/>
      <w:sz w:val="20"/>
      <w:szCs w:val="20"/>
      <w:lang w:eastAsia="es-ES"/>
    </w:rPr>
  </w:style>
  <w:style w:type="paragraph" w:customStyle="1" w:styleId="E10-Indicador">
    <w:name w:val="E10 - Indicador"/>
    <w:rsid w:val="006520E3"/>
    <w:pPr>
      <w:tabs>
        <w:tab w:val="left" w:pos="1418"/>
      </w:tabs>
      <w:spacing w:after="0" w:line="240" w:lineRule="auto"/>
      <w:ind w:left="1418" w:hanging="1418"/>
      <w:jc w:val="both"/>
      <w:outlineLvl w:val="7"/>
    </w:pPr>
    <w:rPr>
      <w:rFonts w:ascii="Arial" w:eastAsia="Times New Roman" w:hAnsi="Arial" w:cs="Times New Roman"/>
      <w:i/>
      <w:color w:val="000000"/>
      <w:sz w:val="20"/>
      <w:szCs w:val="20"/>
      <w:lang w:val="es-ES" w:eastAsia="es-ES"/>
    </w:rPr>
  </w:style>
  <w:style w:type="paragraph" w:customStyle="1" w:styleId="AnlisisdelEjercicio">
    <w:name w:val="Análisis del Ejercicio"/>
    <w:rsid w:val="006520E3"/>
    <w:pPr>
      <w:tabs>
        <w:tab w:val="right" w:pos="5954"/>
      </w:tabs>
      <w:spacing w:after="0" w:line="240" w:lineRule="auto"/>
      <w:ind w:left="57"/>
    </w:pPr>
    <w:rPr>
      <w:rFonts w:ascii="Arial" w:eastAsia="Times New Roman" w:hAnsi="Arial" w:cs="Times New Roman"/>
      <w:caps/>
      <w:sz w:val="16"/>
      <w:szCs w:val="20"/>
      <w:lang w:val="es-ES" w:eastAsia="es-ES"/>
    </w:rPr>
  </w:style>
  <w:style w:type="paragraph" w:customStyle="1" w:styleId="Formatos">
    <w:name w:val="Formatos"/>
    <w:rsid w:val="006520E3"/>
    <w:pPr>
      <w:tabs>
        <w:tab w:val="right" w:pos="5954"/>
      </w:tabs>
      <w:spacing w:after="0" w:line="240" w:lineRule="auto"/>
      <w:ind w:left="284"/>
      <w:jc w:val="both"/>
    </w:pPr>
    <w:rPr>
      <w:rFonts w:ascii="Arial" w:eastAsia="Times New Roman" w:hAnsi="Arial" w:cs="Times New Roman"/>
      <w:sz w:val="16"/>
      <w:szCs w:val="20"/>
      <w:lang w:val="es-ES" w:eastAsia="es-ES"/>
    </w:rPr>
  </w:style>
  <w:style w:type="paragraph" w:customStyle="1" w:styleId="Tipodeinformacin">
    <w:name w:val="Tipo de información"/>
    <w:rsid w:val="006520E3"/>
    <w:pPr>
      <w:tabs>
        <w:tab w:val="right" w:pos="5954"/>
      </w:tabs>
      <w:spacing w:after="0" w:line="240" w:lineRule="auto"/>
      <w:ind w:left="57"/>
      <w:jc w:val="both"/>
    </w:pPr>
    <w:rPr>
      <w:rFonts w:ascii="Arial" w:eastAsia="Times New Roman" w:hAnsi="Arial" w:cs="Times New Roman"/>
      <w:b/>
      <w:caps/>
      <w:sz w:val="16"/>
      <w:szCs w:val="20"/>
      <w:lang w:val="es-ES" w:eastAsia="es-ES"/>
    </w:rPr>
  </w:style>
  <w:style w:type="paragraph" w:customStyle="1" w:styleId="Cabeza">
    <w:name w:val="Cabeza"/>
    <w:rsid w:val="006520E3"/>
    <w:pPr>
      <w:spacing w:after="0" w:line="240" w:lineRule="auto"/>
    </w:pPr>
    <w:rPr>
      <w:rFonts w:ascii="Arial" w:eastAsia="Times New Roman" w:hAnsi="Arial" w:cs="Times New Roman"/>
      <w:color w:val="000000"/>
      <w:sz w:val="20"/>
      <w:szCs w:val="20"/>
      <w:lang w:eastAsia="es-ES"/>
    </w:rPr>
  </w:style>
  <w:style w:type="paragraph" w:customStyle="1" w:styleId="Clave">
    <w:name w:val="Clave"/>
    <w:rsid w:val="006520E3"/>
    <w:pPr>
      <w:spacing w:before="40" w:after="0" w:line="240" w:lineRule="auto"/>
      <w:jc w:val="right"/>
    </w:pPr>
    <w:rPr>
      <w:rFonts w:ascii="Arial" w:eastAsia="Times New Roman" w:hAnsi="Arial" w:cs="Arial"/>
      <w:b/>
      <w:szCs w:val="20"/>
      <w:lang w:val="es-ES" w:eastAsia="es-ES"/>
    </w:rPr>
  </w:style>
  <w:style w:type="paragraph" w:customStyle="1" w:styleId="InterlineadoCerrado">
    <w:name w:val="InterlineadoCerrado"/>
    <w:rsid w:val="006520E3"/>
    <w:pPr>
      <w:spacing w:after="0" w:line="200" w:lineRule="exact"/>
    </w:pPr>
    <w:rPr>
      <w:rFonts w:ascii="Arial" w:eastAsia="Times New Roman" w:hAnsi="Arial" w:cs="Times New Roman"/>
      <w:noProof/>
      <w:sz w:val="20"/>
      <w:szCs w:val="20"/>
      <w:lang w:val="es-ES" w:eastAsia="es-ES"/>
    </w:rPr>
  </w:style>
  <w:style w:type="paragraph" w:customStyle="1" w:styleId="Nombre">
    <w:name w:val="Nombre"/>
    <w:rsid w:val="006520E3"/>
    <w:pPr>
      <w:spacing w:after="0" w:line="240" w:lineRule="auto"/>
      <w:jc w:val="center"/>
    </w:pPr>
    <w:rPr>
      <w:rFonts w:ascii="Arial" w:eastAsia="Times New Roman" w:hAnsi="Arial" w:cs="Arial"/>
      <w:b/>
      <w:bCs/>
      <w:sz w:val="24"/>
      <w:szCs w:val="20"/>
      <w:lang w:val="es-ES" w:eastAsia="es-ES"/>
    </w:rPr>
  </w:style>
  <w:style w:type="paragraph" w:customStyle="1" w:styleId="CabezaIndice">
    <w:name w:val="CabezaIndice"/>
    <w:rsid w:val="006520E3"/>
    <w:pPr>
      <w:spacing w:before="120" w:after="120" w:line="200" w:lineRule="exact"/>
      <w:jc w:val="center"/>
    </w:pPr>
    <w:rPr>
      <w:rFonts w:ascii="Arial" w:eastAsia="Times New Roman" w:hAnsi="Arial" w:cs="Arial"/>
      <w:b/>
      <w:bCs/>
      <w:sz w:val="16"/>
      <w:szCs w:val="20"/>
      <w:lang w:eastAsia="es-ES"/>
    </w:rPr>
  </w:style>
  <w:style w:type="paragraph" w:customStyle="1" w:styleId="InterlineadoCerrado4">
    <w:name w:val="InterlineadoCerrado(4)"/>
    <w:basedOn w:val="InterlineadoCerrado"/>
    <w:rsid w:val="006520E3"/>
    <w:pPr>
      <w:spacing w:line="60" w:lineRule="exact"/>
    </w:pPr>
  </w:style>
  <w:style w:type="character" w:styleId="Hipervnculo">
    <w:name w:val="Hyperlink"/>
    <w:rsid w:val="006520E3"/>
    <w:rPr>
      <w:color w:val="0000FF"/>
      <w:u w:val="single"/>
    </w:rPr>
  </w:style>
  <w:style w:type="paragraph" w:customStyle="1" w:styleId="Body">
    <w:name w:val="Body"/>
    <w:aliases w:val="Text"/>
    <w:basedOn w:val="Normal"/>
    <w:rsid w:val="006520E3"/>
    <w:pPr>
      <w:jc w:val="both"/>
    </w:pPr>
    <w:rPr>
      <w:rFonts w:ascii="Arial" w:hAnsi="Arial"/>
      <w:sz w:val="20"/>
      <w:szCs w:val="20"/>
      <w:lang w:val="es-ES_tradnl" w:eastAsia="es-ES"/>
    </w:rPr>
  </w:style>
  <w:style w:type="paragraph" w:customStyle="1" w:styleId="BULET">
    <w:name w:val="BULET"/>
    <w:basedOn w:val="Normal"/>
    <w:rsid w:val="006520E3"/>
    <w:pPr>
      <w:numPr>
        <w:numId w:val="3"/>
      </w:numPr>
    </w:pPr>
    <w:rPr>
      <w:lang w:val="es-ES" w:eastAsia="es-ES"/>
    </w:rPr>
  </w:style>
  <w:style w:type="paragraph" w:customStyle="1" w:styleId="N1">
    <w:name w:val="N1"/>
    <w:basedOn w:val="Normal"/>
    <w:rsid w:val="006520E3"/>
    <w:pPr>
      <w:keepNext/>
      <w:spacing w:before="240" w:after="120"/>
    </w:pPr>
    <w:rPr>
      <w:rFonts w:ascii="Arial" w:hAnsi="Arial"/>
      <w:b/>
      <w:sz w:val="20"/>
      <w:szCs w:val="20"/>
      <w:lang w:eastAsia="es-ES"/>
    </w:rPr>
  </w:style>
  <w:style w:type="character" w:styleId="Hipervnculovisitado">
    <w:name w:val="FollowedHyperlink"/>
    <w:rsid w:val="006520E3"/>
    <w:rPr>
      <w:color w:val="800080"/>
      <w:u w:val="single"/>
    </w:rPr>
  </w:style>
  <w:style w:type="paragraph" w:customStyle="1" w:styleId="BALA0">
    <w:name w:val="BALA"/>
    <w:basedOn w:val="Normal"/>
    <w:rsid w:val="006520E3"/>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6520E3"/>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6520E3"/>
    <w:pPr>
      <w:ind w:left="567"/>
      <w:jc w:val="both"/>
    </w:pPr>
    <w:rPr>
      <w:rFonts w:ascii="Arial" w:hAnsi="Arial"/>
      <w:sz w:val="20"/>
      <w:lang w:val="es-ES" w:eastAsia="es-ES"/>
    </w:rPr>
  </w:style>
  <w:style w:type="paragraph" w:styleId="Textodeglobo">
    <w:name w:val="Balloon Text"/>
    <w:basedOn w:val="Normal"/>
    <w:link w:val="TextodegloboCar"/>
    <w:semiHidden/>
    <w:rsid w:val="006520E3"/>
    <w:rPr>
      <w:rFonts w:ascii="Tahoma" w:hAnsi="Tahoma" w:cs="Tahoma"/>
      <w:sz w:val="16"/>
      <w:szCs w:val="16"/>
    </w:rPr>
  </w:style>
  <w:style w:type="character" w:customStyle="1" w:styleId="TextodegloboCar">
    <w:name w:val="Texto de globo Car"/>
    <w:basedOn w:val="Fuentedeprrafopredeter"/>
    <w:link w:val="Textodeglobo"/>
    <w:semiHidden/>
    <w:rsid w:val="006520E3"/>
    <w:rPr>
      <w:rFonts w:ascii="Tahoma" w:eastAsia="Times New Roman" w:hAnsi="Tahoma" w:cs="Tahoma"/>
      <w:sz w:val="16"/>
      <w:szCs w:val="16"/>
      <w:lang w:eastAsia="es-MX"/>
    </w:rPr>
  </w:style>
  <w:style w:type="table" w:styleId="Tablaconcuadrcula">
    <w:name w:val="Table Grid"/>
    <w:basedOn w:val="Tablanormal"/>
    <w:uiPriority w:val="39"/>
    <w:rsid w:val="006520E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next w:val="Normal"/>
    <w:rsid w:val="006520E3"/>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6520E3"/>
    <w:pPr>
      <w:numPr>
        <w:numId w:val="6"/>
      </w:numPr>
      <w:tabs>
        <w:tab w:val="left" w:pos="284"/>
      </w:tabs>
      <w:spacing w:before="60" w:after="60" w:line="240" w:lineRule="exact"/>
      <w:jc w:val="both"/>
    </w:pPr>
    <w:rPr>
      <w:rFonts w:ascii="EurekaSans-Light" w:eastAsia="Times New Roman" w:hAnsi="EurekaSans-Light" w:cs="Times New Roman"/>
      <w:sz w:val="24"/>
      <w:szCs w:val="24"/>
      <w:lang w:val="en-US" w:eastAsia="es-ES_tradnl"/>
    </w:rPr>
  </w:style>
  <w:style w:type="character" w:customStyle="1" w:styleId="Vieta1Car">
    <w:name w:val="Viñeta 1 Car"/>
    <w:rsid w:val="006520E3"/>
    <w:rPr>
      <w:rFonts w:ascii="EurekaSans-Light" w:hAnsi="EurekaSans-Light"/>
      <w:sz w:val="24"/>
      <w:szCs w:val="24"/>
      <w:lang w:val="en-US" w:eastAsia="es-ES_tradnl" w:bidi="ar-SA"/>
    </w:rPr>
  </w:style>
  <w:style w:type="paragraph" w:styleId="Textonotapie">
    <w:name w:val="footnote text"/>
    <w:basedOn w:val="Normal"/>
    <w:link w:val="TextonotapieCar"/>
    <w:semiHidden/>
    <w:rsid w:val="006520E3"/>
    <w:rPr>
      <w:sz w:val="20"/>
      <w:szCs w:val="20"/>
    </w:rPr>
  </w:style>
  <w:style w:type="character" w:customStyle="1" w:styleId="TextonotapieCar">
    <w:name w:val="Texto nota pie Car"/>
    <w:basedOn w:val="Fuentedeprrafopredeter"/>
    <w:link w:val="Textonotapie"/>
    <w:semiHidden/>
    <w:rsid w:val="006520E3"/>
    <w:rPr>
      <w:rFonts w:ascii="Times New Roman" w:eastAsia="Times New Roman" w:hAnsi="Times New Roman" w:cs="Times New Roman"/>
      <w:sz w:val="20"/>
      <w:szCs w:val="20"/>
      <w:lang w:eastAsia="es-MX"/>
    </w:rPr>
  </w:style>
  <w:style w:type="character" w:styleId="Refdenotaalpie">
    <w:name w:val="footnote reference"/>
    <w:semiHidden/>
    <w:rsid w:val="006520E3"/>
    <w:rPr>
      <w:vertAlign w:val="superscript"/>
    </w:rPr>
  </w:style>
  <w:style w:type="paragraph" w:styleId="Textonotaalfinal">
    <w:name w:val="endnote text"/>
    <w:basedOn w:val="Normal"/>
    <w:link w:val="TextonotaalfinalCar"/>
    <w:semiHidden/>
    <w:rsid w:val="006520E3"/>
    <w:rPr>
      <w:sz w:val="20"/>
      <w:szCs w:val="20"/>
    </w:rPr>
  </w:style>
  <w:style w:type="character" w:customStyle="1" w:styleId="TextonotaalfinalCar">
    <w:name w:val="Texto nota al final Car"/>
    <w:basedOn w:val="Fuentedeprrafopredeter"/>
    <w:link w:val="Textonotaalfinal"/>
    <w:semiHidden/>
    <w:rsid w:val="006520E3"/>
    <w:rPr>
      <w:rFonts w:ascii="Times New Roman" w:eastAsia="Times New Roman" w:hAnsi="Times New Roman" w:cs="Times New Roman"/>
      <w:sz w:val="20"/>
      <w:szCs w:val="20"/>
      <w:lang w:eastAsia="es-MX"/>
    </w:rPr>
  </w:style>
  <w:style w:type="character" w:styleId="Refdenotaalfinal">
    <w:name w:val="endnote reference"/>
    <w:semiHidden/>
    <w:rsid w:val="006520E3"/>
    <w:rPr>
      <w:vertAlign w:val="superscript"/>
    </w:rPr>
  </w:style>
  <w:style w:type="paragraph" w:customStyle="1" w:styleId="Nmero">
    <w:name w:val="Número"/>
    <w:basedOn w:val="Normal"/>
    <w:rsid w:val="006520E3"/>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6520E3"/>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6520E3"/>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6520E3"/>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6520E3"/>
    <w:pPr>
      <w:keepNext/>
      <w:jc w:val="both"/>
    </w:pPr>
    <w:rPr>
      <w:rFonts w:ascii="Arial" w:hAnsi="Arial"/>
      <w:b/>
      <w:sz w:val="20"/>
      <w:szCs w:val="20"/>
      <w:lang w:val="es-ES_tradnl" w:eastAsia="es-ES"/>
    </w:rPr>
  </w:style>
  <w:style w:type="paragraph" w:customStyle="1" w:styleId="Body3">
    <w:name w:val="Body3"/>
    <w:aliases w:val="Text3,2"/>
    <w:basedOn w:val="Normal"/>
    <w:rsid w:val="006520E3"/>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6520E3"/>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6520E3"/>
    <w:pPr>
      <w:ind w:left="454" w:hanging="454"/>
      <w:jc w:val="both"/>
    </w:pPr>
    <w:rPr>
      <w:rFonts w:ascii="Arial" w:hAnsi="Arial"/>
      <w:sz w:val="20"/>
      <w:szCs w:val="20"/>
      <w:lang w:val="es-ES_tradnl" w:eastAsia="es-ES"/>
    </w:rPr>
  </w:style>
  <w:style w:type="paragraph" w:customStyle="1" w:styleId="Default">
    <w:name w:val="Default"/>
    <w:rsid w:val="006520E3"/>
    <w:pPr>
      <w:widowControl w:val="0"/>
      <w:autoSpaceDE w:val="0"/>
      <w:autoSpaceDN w:val="0"/>
      <w:adjustRightInd w:val="0"/>
      <w:spacing w:after="0" w:line="240" w:lineRule="auto"/>
    </w:pPr>
    <w:rPr>
      <w:rFonts w:ascii="Arial,Bold" w:eastAsia="Times New Roman" w:hAnsi="Arial,Bold" w:cs="Times New Roman"/>
      <w:sz w:val="20"/>
      <w:szCs w:val="20"/>
      <w:lang w:val="es-ES" w:eastAsia="es-ES"/>
    </w:rPr>
  </w:style>
  <w:style w:type="character" w:styleId="Refdecomentario">
    <w:name w:val="annotation reference"/>
    <w:semiHidden/>
    <w:rsid w:val="006520E3"/>
    <w:rPr>
      <w:sz w:val="16"/>
      <w:szCs w:val="16"/>
    </w:rPr>
  </w:style>
  <w:style w:type="paragraph" w:styleId="Textocomentario">
    <w:name w:val="annotation text"/>
    <w:basedOn w:val="Normal"/>
    <w:link w:val="TextocomentarioCar"/>
    <w:semiHidden/>
    <w:rsid w:val="006520E3"/>
    <w:rPr>
      <w:sz w:val="20"/>
      <w:szCs w:val="20"/>
    </w:rPr>
  </w:style>
  <w:style w:type="character" w:customStyle="1" w:styleId="TextocomentarioCar">
    <w:name w:val="Texto comentario Car"/>
    <w:basedOn w:val="Fuentedeprrafopredeter"/>
    <w:link w:val="Textocomentario"/>
    <w:semiHidden/>
    <w:rsid w:val="006520E3"/>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semiHidden/>
    <w:rsid w:val="006520E3"/>
    <w:rPr>
      <w:b/>
      <w:bCs/>
    </w:rPr>
  </w:style>
  <w:style w:type="character" w:customStyle="1" w:styleId="AsuntodelcomentarioCar">
    <w:name w:val="Asunto del comentario Car"/>
    <w:basedOn w:val="TextocomentarioCar"/>
    <w:link w:val="Asuntodelcomentario"/>
    <w:semiHidden/>
    <w:rsid w:val="006520E3"/>
    <w:rPr>
      <w:rFonts w:ascii="Times New Roman" w:eastAsia="Times New Roman" w:hAnsi="Times New Roman" w:cs="Times New Roman"/>
      <w:b/>
      <w:bCs/>
      <w:sz w:val="20"/>
      <w:szCs w:val="20"/>
      <w:lang w:eastAsia="es-MX"/>
    </w:rPr>
  </w:style>
  <w:style w:type="paragraph" w:customStyle="1" w:styleId="CarCar1">
    <w:name w:val="Car Car1"/>
    <w:basedOn w:val="Normal"/>
    <w:next w:val="Normal"/>
    <w:rsid w:val="006520E3"/>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6520E3"/>
    <w:pPr>
      <w:ind w:left="720"/>
      <w:contextualSpacing/>
    </w:pPr>
  </w:style>
  <w:style w:type="paragraph" w:customStyle="1" w:styleId="Epgrafe">
    <w:name w:val="Epígrafe"/>
    <w:basedOn w:val="Normal"/>
    <w:next w:val="Normal"/>
    <w:unhideWhenUsed/>
    <w:qFormat/>
    <w:rsid w:val="006520E3"/>
    <w:pPr>
      <w:spacing w:after="200"/>
    </w:pPr>
    <w:rPr>
      <w:b/>
      <w:bCs/>
      <w:color w:val="4F81BD"/>
      <w:sz w:val="18"/>
      <w:szCs w:val="18"/>
    </w:rPr>
  </w:style>
  <w:style w:type="character" w:styleId="Textoennegrita">
    <w:name w:val="Strong"/>
    <w:qFormat/>
    <w:rsid w:val="006520E3"/>
    <w:rPr>
      <w:b/>
      <w:bCs/>
    </w:rPr>
  </w:style>
  <w:style w:type="paragraph" w:customStyle="1" w:styleId="m-935168839506812550gmail-msolistparagraph">
    <w:name w:val="m_-935168839506812550gmail-msolistparagraph"/>
    <w:basedOn w:val="Normal"/>
    <w:rsid w:val="006520E3"/>
    <w:pPr>
      <w:spacing w:before="100" w:beforeAutospacing="1" w:after="100" w:afterAutospacing="1"/>
    </w:pPr>
  </w:style>
  <w:style w:type="paragraph" w:customStyle="1" w:styleId="p0">
    <w:name w:val="p0"/>
    <w:basedOn w:val="Normal"/>
    <w:rsid w:val="00392EE6"/>
    <w:pPr>
      <w:keepLines/>
      <w:spacing w:before="240"/>
      <w:jc w:val="both"/>
    </w:pPr>
    <w:rPr>
      <w:rFonts w:ascii="Arial" w:hAnsi="Arial"/>
      <w:szCs w:val="20"/>
      <w:lang w:val="es-ES_tradnl" w:eastAsia="es-ES"/>
    </w:rPr>
  </w:style>
  <w:style w:type="paragraph" w:customStyle="1" w:styleId="p02">
    <w:name w:val="p02"/>
    <w:basedOn w:val="Normal"/>
    <w:next w:val="p0"/>
    <w:rsid w:val="00392EE6"/>
    <w:pPr>
      <w:keepLines/>
      <w:spacing w:before="240"/>
      <w:ind w:right="11"/>
      <w:jc w:val="both"/>
    </w:pPr>
    <w:rPr>
      <w:rFonts w:ascii="Univers" w:hAnsi="Univers"/>
      <w:color w:val="0000FF"/>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respaldo\sfigueroa1\Notas-calendario\ITAEE%20base%202013\2019\3er%20trim\Gr&#225;ficas_ITAEE_3er_T%20_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respaldo\sfigueroa1\Notas-calendario\ITAEE%20base%202013\2019\3er%20trim\Gr&#225;ficas_Contribuci&#243;n_ITAEE_3er_T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spPr>
        <a:noFill/>
        <a:ln w="9525" cap="flat" cmpd="sng" algn="ctr">
          <a:solidFill>
            <a:schemeClr val="bg1">
              <a:lumMod val="50000"/>
            </a:schemeClr>
          </a:solidFill>
          <a:prstDash val="solid"/>
          <a:round/>
        </a:ln>
        <a:effectLst/>
        <a:sp3d contourW="9525">
          <a:contourClr>
            <a:schemeClr val="bg1">
              <a:lumMod val="50000"/>
            </a:schemeClr>
          </a:contourClr>
        </a:sp3d>
      </c:spPr>
    </c:floor>
    <c:sideWall>
      <c:thickness val="0"/>
      <c:spPr>
        <a:noFill/>
        <a:ln>
          <a:solidFill>
            <a:schemeClr val="bg1">
              <a:lumMod val="50000"/>
            </a:schemeClr>
          </a:solidFill>
        </a:ln>
        <a:effectLst/>
        <a:sp3d>
          <a:contourClr>
            <a:schemeClr val="bg1">
              <a:lumMod val="50000"/>
            </a:schemeClr>
          </a:contourClr>
        </a:sp3d>
      </c:spPr>
    </c:sideWall>
    <c:backWall>
      <c:thickness val="0"/>
      <c:spPr>
        <a:noFill/>
        <a:ln>
          <a:solidFill>
            <a:schemeClr val="bg1">
              <a:lumMod val="50000"/>
            </a:schemeClr>
          </a:solidFill>
        </a:ln>
        <a:effectLst/>
        <a:sp3d>
          <a:contourClr>
            <a:schemeClr val="bg1">
              <a:lumMod val="50000"/>
            </a:schemeClr>
          </a:contourClr>
        </a:sp3d>
      </c:spPr>
    </c:backWall>
    <c:plotArea>
      <c:layout>
        <c:manualLayout>
          <c:layoutTarget val="inner"/>
          <c:xMode val="edge"/>
          <c:yMode val="edge"/>
          <c:x val="0.38165295815295813"/>
          <c:y val="3.8766788766788768E-2"/>
          <c:w val="0.55954329004329006"/>
          <c:h val="0.90195526695526695"/>
        </c:manualLayout>
      </c:layout>
      <c:bar3DChart>
        <c:barDir val="bar"/>
        <c:grouping val="clustered"/>
        <c:varyColors val="0"/>
        <c:ser>
          <c:idx val="0"/>
          <c:order val="0"/>
          <c:tx>
            <c:v>Total</c:v>
          </c:tx>
          <c:spPr>
            <a:solidFill>
              <a:schemeClr val="accent1"/>
            </a:solidFill>
            <a:ln>
              <a:noFill/>
            </a:ln>
            <a:effectLst/>
            <a:sp3d/>
          </c:spPr>
          <c:invertIfNegative val="0"/>
          <c:dPt>
            <c:idx val="1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67E9-4753-96A5-2D9CFA55F8C2}"/>
              </c:ext>
            </c:extLst>
          </c:dPt>
          <c:dPt>
            <c:idx val="1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67E9-4753-96A5-2D9CFA55F8C2}"/>
              </c:ext>
            </c:extLst>
          </c:dPt>
          <c:dPt>
            <c:idx val="1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67E9-4753-96A5-2D9CFA55F8C2}"/>
              </c:ext>
            </c:extLst>
          </c:dPt>
          <c:dPt>
            <c:idx val="13"/>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7-67E9-4753-96A5-2D9CFA55F8C2}"/>
              </c:ext>
            </c:extLst>
          </c:dPt>
          <c:dPt>
            <c:idx val="14"/>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9-67E9-4753-96A5-2D9CFA55F8C2}"/>
              </c:ext>
            </c:extLst>
          </c:dPt>
          <c:dPt>
            <c:idx val="15"/>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B-67E9-4753-96A5-2D9CFA55F8C2}"/>
              </c:ext>
            </c:extLst>
          </c:dPt>
          <c:dPt>
            <c:idx val="16"/>
            <c:invertIfNegative val="0"/>
            <c:bubble3D val="0"/>
            <c:spPr>
              <a:solidFill>
                <a:schemeClr val="tx2">
                  <a:lumMod val="60000"/>
                  <a:lumOff val="40000"/>
                </a:schemeClr>
              </a:solidFill>
              <a:ln>
                <a:noFill/>
              </a:ln>
              <a:effectLst>
                <a:outerShdw blurRad="50800" dist="50800" dir="5400000" algn="ctr" rotWithShape="0">
                  <a:schemeClr val="accent5">
                    <a:lumMod val="20000"/>
                    <a:lumOff val="80000"/>
                  </a:schemeClr>
                </a:outerShdw>
              </a:effectLst>
              <a:sp3d/>
            </c:spPr>
            <c:extLst xmlns:c16r2="http://schemas.microsoft.com/office/drawing/2015/06/chart">
              <c:ext xmlns:c16="http://schemas.microsoft.com/office/drawing/2014/chart" uri="{C3380CC4-5D6E-409C-BE32-E72D297353CC}">
                <c16:uniqueId val="{0000000D-67E9-4753-96A5-2D9CFA55F8C2}"/>
              </c:ext>
            </c:extLst>
          </c:dPt>
          <c:dPt>
            <c:idx val="17"/>
            <c:invertIfNegative val="0"/>
            <c:bubble3D val="0"/>
            <c:spPr>
              <a:solidFill>
                <a:schemeClr val="tx2">
                  <a:lumMod val="75000"/>
                </a:schemeClr>
              </a:solidFill>
              <a:ln>
                <a:noFill/>
              </a:ln>
              <a:effectLst/>
              <a:sp3d/>
            </c:spPr>
            <c:extLst xmlns:c16r2="http://schemas.microsoft.com/office/drawing/2015/06/chart">
              <c:ext xmlns:c16="http://schemas.microsoft.com/office/drawing/2014/chart" uri="{C3380CC4-5D6E-409C-BE32-E72D297353CC}">
                <c16:uniqueId val="{0000000F-67E9-4753-96A5-2D9CFA55F8C2}"/>
              </c:ext>
            </c:extLst>
          </c:dPt>
          <c:dPt>
            <c:idx val="18"/>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11-67E9-4753-96A5-2D9CFA55F8C2}"/>
              </c:ext>
            </c:extLst>
          </c:dPt>
          <c:dPt>
            <c:idx val="19"/>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3-67E9-4753-96A5-2D9CFA55F8C2}"/>
              </c:ext>
            </c:extLst>
          </c:dPt>
          <c:dLbls>
            <c:dLbl>
              <c:idx val="0"/>
              <c:layout>
                <c:manualLayout>
                  <c:x val="-1.6209201168402243E-2"/>
                  <c:y val="-3.2318356479784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7E9-4753-96A5-2D9CFA55F8C2}"/>
                </c:ext>
                <c:ext xmlns:c15="http://schemas.microsoft.com/office/drawing/2012/chart" uri="{CE6537A1-D6FC-4f65-9D91-7224C49458BB}"/>
              </c:extLst>
            </c:dLbl>
            <c:dLbl>
              <c:idx val="1"/>
              <c:layout>
                <c:manualLayout>
                  <c:x val="-2.2901154401154401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7E9-4753-96A5-2D9CFA55F8C2}"/>
                </c:ext>
                <c:ext xmlns:c15="http://schemas.microsoft.com/office/drawing/2012/chart" uri="{CE6537A1-D6FC-4f65-9D91-7224C49458BB}"/>
              </c:extLst>
            </c:dLbl>
            <c:dLbl>
              <c:idx val="2"/>
              <c:layout>
                <c:manualLayout>
                  <c:x val="-2.436539560579112E-2"/>
                  <c:y val="-2.01795266700902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7E9-4753-96A5-2D9CFA55F8C2}"/>
                </c:ext>
                <c:ext xmlns:c15="http://schemas.microsoft.com/office/drawing/2012/chart" uri="{CE6537A1-D6FC-4f65-9D91-7224C49458BB}"/>
              </c:extLst>
            </c:dLbl>
            <c:dLbl>
              <c:idx val="3"/>
              <c:layout>
                <c:manualLayout>
                  <c:x val="-2.4827359029718058E-2"/>
                  <c:y val="-2.71979127079912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7E9-4753-96A5-2D9CFA55F8C2}"/>
                </c:ext>
                <c:ext xmlns:c15="http://schemas.microsoft.com/office/drawing/2012/chart" uri="{CE6537A1-D6FC-4f65-9D91-7224C49458BB}"/>
              </c:extLst>
            </c:dLbl>
            <c:dLbl>
              <c:idx val="4"/>
              <c:layout>
                <c:manualLayout>
                  <c:x val="-1.9786639573279148E-2"/>
                  <c:y val="-2.71979127079912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7E9-4753-96A5-2D9CFA55F8C2}"/>
                </c:ext>
                <c:ext xmlns:c15="http://schemas.microsoft.com/office/drawing/2012/chart" uri="{CE6537A1-D6FC-4f65-9D91-7224C49458BB}"/>
              </c:extLst>
            </c:dLbl>
            <c:dLbl>
              <c:idx val="5"/>
              <c:layout>
                <c:manualLayout>
                  <c:x val="-2.2902511430022861E-2"/>
                  <c:y val="-4.2261440435948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7E9-4753-96A5-2D9CFA55F8C2}"/>
                </c:ext>
                <c:ext xmlns:c15="http://schemas.microsoft.com/office/drawing/2012/chart" uri="{CE6537A1-D6FC-4f65-9D91-7224C49458BB}"/>
              </c:extLst>
            </c:dLbl>
            <c:dLbl>
              <c:idx val="6"/>
              <c:layout>
                <c:manualLayout>
                  <c:x val="-2.289935064935056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7E9-4753-96A5-2D9CFA55F8C2}"/>
                </c:ext>
                <c:ext xmlns:c15="http://schemas.microsoft.com/office/drawing/2012/chart" uri="{CE6537A1-D6FC-4f65-9D91-7224C49458BB}"/>
              </c:extLst>
            </c:dLbl>
            <c:dLbl>
              <c:idx val="7"/>
              <c:layout>
                <c:manualLayout>
                  <c:x val="-3.3896764668529339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7E9-4753-96A5-2D9CFA55F8C2}"/>
                </c:ext>
                <c:ext xmlns:c15="http://schemas.microsoft.com/office/drawing/2012/chart" uri="{CE6537A1-D6FC-4f65-9D91-7224C49458BB}">
                  <c15:layout>
                    <c:manualLayout>
                      <c:w val="0.10232864357864357"/>
                      <c:h val="3.1348373848373849E-2"/>
                    </c:manualLayout>
                  </c15:layout>
                </c:ext>
              </c:extLst>
            </c:dLbl>
            <c:dLbl>
              <c:idx val="8"/>
              <c:layout>
                <c:manualLayout>
                  <c:x val="-2.290620490620482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7E9-4753-96A5-2D9CFA55F8C2}"/>
                </c:ext>
                <c:ext xmlns:c15="http://schemas.microsoft.com/office/drawing/2012/chart" uri="{CE6537A1-D6FC-4f65-9D91-7224C49458BB}"/>
              </c:extLst>
            </c:dLbl>
            <c:dLbl>
              <c:idx val="9"/>
              <c:layout>
                <c:manualLayout>
                  <c:x val="-2.290656565656565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7E9-4753-96A5-2D9CFA55F8C2}"/>
                </c:ext>
                <c:ext xmlns:c15="http://schemas.microsoft.com/office/drawing/2012/chart" uri="{CE6537A1-D6FC-4f65-9D91-7224C49458BB}"/>
              </c:extLst>
            </c:dLbl>
            <c:dLbl>
              <c:idx val="10"/>
              <c:layout>
                <c:manualLayout>
                  <c:x val="-3.3900336550673101E-2"/>
                  <c:y val="-3.52408319832163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E9-4753-96A5-2D9CFA55F8C2}"/>
                </c:ext>
                <c:ext xmlns:c15="http://schemas.microsoft.com/office/drawing/2012/chart" uri="{CE6537A1-D6FC-4f65-9D91-7224C49458BB}">
                  <c15:layout>
                    <c:manualLayout>
                      <c:w val="0.10691017316017316"/>
                      <c:h val="3.487262737262737E-2"/>
                    </c:manualLayout>
                  </c15:layout>
                </c:ext>
              </c:extLst>
            </c:dLbl>
            <c:dLbl>
              <c:idx val="11"/>
              <c:layout>
                <c:manualLayout>
                  <c:x val="-2.290620490620490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E9-4753-96A5-2D9CFA55F8C2}"/>
                </c:ext>
                <c:ext xmlns:c15="http://schemas.microsoft.com/office/drawing/2012/chart" uri="{CE6537A1-D6FC-4f65-9D91-7224C49458BB}"/>
              </c:extLst>
            </c:dLbl>
            <c:dLbl>
              <c:idx val="1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7E9-4753-96A5-2D9CFA55F8C2}"/>
                </c:ext>
                <c:ext xmlns:c15="http://schemas.microsoft.com/office/drawing/2012/chart" uri="{CE6537A1-D6FC-4f65-9D91-7224C49458BB}"/>
              </c:extLst>
            </c:dLbl>
            <c:dLbl>
              <c:idx val="13"/>
              <c:layout>
                <c:manualLayout>
                  <c:x val="-2.290687706375412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7E9-4753-96A5-2D9CFA55F8C2}"/>
                </c:ext>
                <c:ext xmlns:c15="http://schemas.microsoft.com/office/drawing/2012/chart" uri="{CE6537A1-D6FC-4f65-9D91-7224C49458BB}"/>
              </c:extLst>
            </c:dLbl>
            <c:dLbl>
              <c:idx val="14"/>
              <c:layout>
                <c:manualLayout>
                  <c:x val="-1.7865363855727713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7E9-4753-96A5-2D9CFA55F8C2}"/>
                </c:ext>
                <c:ext xmlns:c15="http://schemas.microsoft.com/office/drawing/2012/chart" uri="{CE6537A1-D6FC-4f65-9D91-7224C49458BB}"/>
              </c:extLst>
            </c:dLbl>
            <c:dLbl>
              <c:idx val="15"/>
              <c:layout>
                <c:manualLayout>
                  <c:x val="-1.7863776352552704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7E9-4753-96A5-2D9CFA55F8C2}"/>
                </c:ext>
                <c:ext xmlns:c15="http://schemas.microsoft.com/office/drawing/2012/chart" uri="{CE6537A1-D6FC-4f65-9D91-7224C49458BB}"/>
              </c:extLst>
            </c:dLbl>
            <c:dLbl>
              <c:idx val="16"/>
              <c:layout>
                <c:manualLayout>
                  <c:x val="-1.7866157607315122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7E9-4753-96A5-2D9CFA55F8C2}"/>
                </c:ext>
                <c:ext xmlns:c15="http://schemas.microsoft.com/office/drawing/2012/chart" uri="{CE6537A1-D6FC-4f65-9D91-7224C49458BB}"/>
              </c:extLst>
            </c:dLbl>
            <c:dLbl>
              <c:idx val="17"/>
              <c:layout>
                <c:manualLayout>
                  <c:x val="-1.83246753246752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7E9-4753-96A5-2D9CFA55F8C2}"/>
                </c:ext>
                <c:ext xmlns:c15="http://schemas.microsoft.com/office/drawing/2012/chart" uri="{CE6537A1-D6FC-4f65-9D91-7224C49458BB}"/>
              </c:extLst>
            </c:dLbl>
            <c:dLbl>
              <c:idx val="18"/>
              <c:layout>
                <c:manualLayout>
                  <c:x val="-1.8325757575757658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7E9-4753-96A5-2D9CFA55F8C2}"/>
                </c:ext>
                <c:ext xmlns:c15="http://schemas.microsoft.com/office/drawing/2012/chart" uri="{CE6537A1-D6FC-4f65-9D91-7224C49458BB}"/>
              </c:extLst>
            </c:dLbl>
            <c:dLbl>
              <c:idx val="19"/>
              <c:layout>
                <c:manualLayout>
                  <c:x val="-1.3285814071628236E-2"/>
                  <c:y val="-3.524305439804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7E9-4753-96A5-2D9CFA55F8C2}"/>
                </c:ext>
                <c:ext xmlns:c15="http://schemas.microsoft.com/office/drawing/2012/chart" uri="{CE6537A1-D6FC-4f65-9D91-7224C49458BB}"/>
              </c:extLst>
            </c:dLbl>
            <c:dLbl>
              <c:idx val="20"/>
              <c:layout>
                <c:manualLayout>
                  <c:x val="-1.3285814071628236E-2"/>
                  <c:y val="-3.52430543980483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7E9-4753-96A5-2D9CFA55F8C2}"/>
                </c:ext>
                <c:ext xmlns:c15="http://schemas.microsoft.com/office/drawing/2012/chart" uri="{CE6537A1-D6FC-4f65-9D91-7224C49458BB}"/>
              </c:extLst>
            </c:dLbl>
            <c:dLbl>
              <c:idx val="21"/>
              <c:layout>
                <c:manualLayout>
                  <c:x val="-1.3285814071628051E-2"/>
                  <c:y val="-7.018386037901062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7E9-4753-96A5-2D9CFA55F8C2}"/>
                </c:ext>
                <c:ext xmlns:c15="http://schemas.microsoft.com/office/drawing/2012/chart" uri="{CE6537A1-D6FC-4f65-9D91-7224C49458BB}"/>
              </c:extLst>
            </c:dLbl>
            <c:dLbl>
              <c:idx val="22"/>
              <c:layout>
                <c:manualLayout>
                  <c:x val="-1.832611832611832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7E9-4753-96A5-2D9CFA55F8C2}"/>
                </c:ext>
                <c:ext xmlns:c15="http://schemas.microsoft.com/office/drawing/2012/chart" uri="{CE6537A1-D6FC-4f65-9D91-7224C49458BB}"/>
              </c:extLst>
            </c:dLbl>
            <c:dLbl>
              <c:idx val="23"/>
              <c:layout>
                <c:manualLayout>
                  <c:x val="-1.832611832611840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7E9-4753-96A5-2D9CFA55F8C2}"/>
                </c:ext>
                <c:ext xmlns:c15="http://schemas.microsoft.com/office/drawing/2012/chart" uri="{CE6537A1-D6FC-4f65-9D91-7224C49458BB}"/>
              </c:extLst>
            </c:dLbl>
            <c:dLbl>
              <c:idx val="24"/>
              <c:layout>
                <c:manualLayout>
                  <c:x val="-1.8326118326118326E-2"/>
                  <c:y val="-3.52425352425355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7E9-4753-96A5-2D9CFA55F8C2}"/>
                </c:ext>
                <c:ext xmlns:c15="http://schemas.microsoft.com/office/drawing/2012/chart" uri="{CE6537A1-D6FC-4f65-9D91-7224C49458BB}"/>
              </c:extLst>
            </c:dLbl>
            <c:dLbl>
              <c:idx val="25"/>
              <c:layout>
                <c:manualLayout>
                  <c:x val="-1.832611832611849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7E9-4753-96A5-2D9CFA55F8C2}"/>
                </c:ext>
                <c:ext xmlns:c15="http://schemas.microsoft.com/office/drawing/2012/chart" uri="{CE6537A1-D6FC-4f65-9D91-7224C49458BB}"/>
              </c:extLst>
            </c:dLbl>
            <c:dLbl>
              <c:idx val="26"/>
              <c:layout>
                <c:manualLayout>
                  <c:x val="-1.832611832611832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7E9-4753-96A5-2D9CFA55F8C2}"/>
                </c:ext>
                <c:ext xmlns:c15="http://schemas.microsoft.com/office/drawing/2012/chart" uri="{CE6537A1-D6FC-4f65-9D91-7224C49458BB}"/>
              </c:extLst>
            </c:dLbl>
            <c:dLbl>
              <c:idx val="27"/>
              <c:layout>
                <c:manualLayout>
                  <c:x val="-1.832611832611849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7E9-4753-96A5-2D9CFA55F8C2}"/>
                </c:ext>
                <c:ext xmlns:c15="http://schemas.microsoft.com/office/drawing/2012/chart" uri="{CE6537A1-D6FC-4f65-9D91-7224C49458BB}"/>
              </c:extLst>
            </c:dLbl>
            <c:dLbl>
              <c:idx val="28"/>
              <c:layout>
                <c:manualLayout>
                  <c:x val="-1.3285814071628143E-2"/>
                  <c:y val="-3.5243054398048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7E9-4753-96A5-2D9CFA55F8C2}"/>
                </c:ext>
                <c:ext xmlns:c15="http://schemas.microsoft.com/office/drawing/2012/chart" uri="{CE6537A1-D6FC-4f65-9D91-7224C49458BB}"/>
              </c:extLst>
            </c:dLbl>
            <c:dLbl>
              <c:idx val="29"/>
              <c:layout>
                <c:manualLayout>
                  <c:x val="-1.3285814071628236E-2"/>
                  <c:y val="-3.5243054398048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7E9-4753-96A5-2D9CFA55F8C2}"/>
                </c:ext>
                <c:ext xmlns:c15="http://schemas.microsoft.com/office/drawing/2012/chart" uri="{CE6537A1-D6FC-4f65-9D91-7224C49458BB}"/>
              </c:extLst>
            </c:dLbl>
            <c:dLbl>
              <c:idx val="30"/>
              <c:layout>
                <c:manualLayout>
                  <c:x val="-1.3285814071628143E-2"/>
                  <c:y val="-3.524305439804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7E9-4753-96A5-2D9CFA55F8C2}"/>
                </c:ext>
                <c:ext xmlns:c15="http://schemas.microsoft.com/office/drawing/2012/chart" uri="{CE6537A1-D6FC-4f65-9D91-7224C49458BB}"/>
              </c:extLst>
            </c:dLbl>
            <c:dLbl>
              <c:idx val="31"/>
              <c:layout>
                <c:manualLayout>
                  <c:x val="-1.3285814071628236E-2"/>
                  <c:y val="-3.524305439804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7E9-4753-96A5-2D9CFA55F8C2}"/>
                </c:ext>
                <c:ext xmlns:c15="http://schemas.microsoft.com/office/drawing/2012/chart" uri="{CE6537A1-D6FC-4f65-9D91-7224C49458BB}"/>
              </c:extLst>
            </c:dLbl>
            <c:dLbl>
              <c:idx val="32"/>
              <c:layout>
                <c:manualLayout>
                  <c:x val="-1.3285814071628143E-2"/>
                  <c:y val="-2.01817490849206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7E9-4753-96A5-2D9CFA55F8C2}"/>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'Variaciones por EF'!$B$6:$B$38</c:f>
              <c:strCache>
                <c:ptCount val="33"/>
                <c:pt idx="0">
                  <c:v>Baja California Sur</c:v>
                </c:pt>
                <c:pt idx="1">
                  <c:v>Tabasco</c:v>
                </c:pt>
                <c:pt idx="2">
                  <c:v>Chiapas</c:v>
                </c:pt>
                <c:pt idx="3">
                  <c:v>Nayarit</c:v>
                </c:pt>
                <c:pt idx="4">
                  <c:v>Zacatecas</c:v>
                </c:pt>
                <c:pt idx="5">
                  <c:v>Quintana Roo</c:v>
                </c:pt>
                <c:pt idx="6">
                  <c:v>México</c:v>
                </c:pt>
                <c:pt idx="7">
                  <c:v>Morelos</c:v>
                </c:pt>
                <c:pt idx="8">
                  <c:v>Oaxaca</c:v>
                </c:pt>
                <c:pt idx="9">
                  <c:v>Campeche</c:v>
                </c:pt>
                <c:pt idx="10">
                  <c:v>Hidalgo</c:v>
                </c:pt>
                <c:pt idx="11">
                  <c:v>Puebla</c:v>
                </c:pt>
                <c:pt idx="12">
                  <c:v>Guerrero</c:v>
                </c:pt>
                <c:pt idx="13">
                  <c:v>Ciudad de México</c:v>
                </c:pt>
                <c:pt idx="14">
                  <c:v>Querétaro</c:v>
                </c:pt>
                <c:pt idx="15">
                  <c:v>Veracruz de Ignacio de la Llave</c:v>
                </c:pt>
                <c:pt idx="16">
                  <c:v>Aguascalientes</c:v>
                </c:pt>
                <c:pt idx="17">
                  <c:v>Nacional</c:v>
                </c:pt>
                <c:pt idx="18">
                  <c:v>San Luis Potosí</c:v>
                </c:pt>
                <c:pt idx="19">
                  <c:v>Jalisco</c:v>
                </c:pt>
                <c:pt idx="20">
                  <c:v>Guanajuato</c:v>
                </c:pt>
                <c:pt idx="21">
                  <c:v>Durango</c:v>
                </c:pt>
                <c:pt idx="22">
                  <c:v>Sonora</c:v>
                </c:pt>
                <c:pt idx="23">
                  <c:v>Yucatán</c:v>
                </c:pt>
                <c:pt idx="24">
                  <c:v>Michoacán de Ocampo</c:v>
                </c:pt>
                <c:pt idx="25">
                  <c:v>Tamaulipas</c:v>
                </c:pt>
                <c:pt idx="26">
                  <c:v>Chihuahua</c:v>
                </c:pt>
                <c:pt idx="27">
                  <c:v>Nuevo León</c:v>
                </c:pt>
                <c:pt idx="28">
                  <c:v>Sinaloa</c:v>
                </c:pt>
                <c:pt idx="29">
                  <c:v>Baja California</c:v>
                </c:pt>
                <c:pt idx="30">
                  <c:v>Coahuila de Zaragoza</c:v>
                </c:pt>
                <c:pt idx="31">
                  <c:v>Colima</c:v>
                </c:pt>
                <c:pt idx="32">
                  <c:v>Tlaxcala</c:v>
                </c:pt>
              </c:strCache>
            </c:strRef>
          </c:cat>
          <c:val>
            <c:numRef>
              <c:f>'Variaciones por EF'!$C$6:$C$38</c:f>
              <c:numCache>
                <c:formatCode>0.0</c:formatCode>
                <c:ptCount val="33"/>
                <c:pt idx="0">
                  <c:v>-9.3947357941395353</c:v>
                </c:pt>
                <c:pt idx="1">
                  <c:v>-3.930839174145234</c:v>
                </c:pt>
                <c:pt idx="2">
                  <c:v>-3.3120327233831972</c:v>
                </c:pt>
                <c:pt idx="3">
                  <c:v>-3.1516057314803305</c:v>
                </c:pt>
                <c:pt idx="4">
                  <c:v>-2.8952784870606223</c:v>
                </c:pt>
                <c:pt idx="5">
                  <c:v>-2.8908728091479361</c:v>
                </c:pt>
                <c:pt idx="6">
                  <c:v>-2.5215270170034358</c:v>
                </c:pt>
                <c:pt idx="7">
                  <c:v>-2.5013624567679784</c:v>
                </c:pt>
                <c:pt idx="8">
                  <c:v>-2.4701466364876978</c:v>
                </c:pt>
                <c:pt idx="9">
                  <c:v>-2.2057078342197656</c:v>
                </c:pt>
                <c:pt idx="10">
                  <c:v>-1.2836131306091687</c:v>
                </c:pt>
                <c:pt idx="11">
                  <c:v>-1.280743276382708</c:v>
                </c:pt>
                <c:pt idx="12">
                  <c:v>-1.1305184119338065</c:v>
                </c:pt>
                <c:pt idx="13">
                  <c:v>-0.74543349526304326</c:v>
                </c:pt>
                <c:pt idx="14">
                  <c:v>-0.60815833687841803</c:v>
                </c:pt>
                <c:pt idx="15">
                  <c:v>-0.57533808298029498</c:v>
                </c:pt>
                <c:pt idx="16">
                  <c:v>-0.55838260622910241</c:v>
                </c:pt>
                <c:pt idx="17">
                  <c:v>-0.25451488374213199</c:v>
                </c:pt>
                <c:pt idx="18">
                  <c:v>2.827989950844767E-2</c:v>
                </c:pt>
                <c:pt idx="19">
                  <c:v>0.24029360717179316</c:v>
                </c:pt>
                <c:pt idx="20">
                  <c:v>0.33878189460531871</c:v>
                </c:pt>
                <c:pt idx="21">
                  <c:v>0.71126408712399325</c:v>
                </c:pt>
                <c:pt idx="22">
                  <c:v>1.1314775993015047</c:v>
                </c:pt>
                <c:pt idx="23">
                  <c:v>1.1540752489598987</c:v>
                </c:pt>
                <c:pt idx="24">
                  <c:v>1.5375081963032784</c:v>
                </c:pt>
                <c:pt idx="25">
                  <c:v>1.7682034032550291</c:v>
                </c:pt>
                <c:pt idx="26">
                  <c:v>1.8410829642736815</c:v>
                </c:pt>
                <c:pt idx="27">
                  <c:v>1.9008740668626132</c:v>
                </c:pt>
                <c:pt idx="28">
                  <c:v>2.1186590875227154</c:v>
                </c:pt>
                <c:pt idx="29">
                  <c:v>2.3431263770803241</c:v>
                </c:pt>
                <c:pt idx="30">
                  <c:v>2.8355972191879744</c:v>
                </c:pt>
                <c:pt idx="31">
                  <c:v>4.8775268821079152</c:v>
                </c:pt>
                <c:pt idx="32">
                  <c:v>13.767655766905847</c:v>
                </c:pt>
              </c:numCache>
            </c:numRef>
          </c:val>
          <c:extLst xmlns:c16r2="http://schemas.microsoft.com/office/drawing/2015/06/chart">
            <c:ext xmlns:c16="http://schemas.microsoft.com/office/drawing/2014/chart" uri="{C3380CC4-5D6E-409C-BE32-E72D297353CC}">
              <c16:uniqueId val="{0000002B-67E9-4753-96A5-2D9CFA55F8C2}"/>
            </c:ext>
          </c:extLst>
        </c:ser>
        <c:dLbls>
          <c:showLegendKey val="0"/>
          <c:showVal val="0"/>
          <c:showCatName val="0"/>
          <c:showSerName val="0"/>
          <c:showPercent val="0"/>
          <c:showBubbleSize val="0"/>
        </c:dLbls>
        <c:gapWidth val="50"/>
        <c:shape val="cylinder"/>
        <c:axId val="1399407280"/>
        <c:axId val="1129623680"/>
        <c:axId val="0"/>
      </c:bar3DChart>
      <c:catAx>
        <c:axId val="1399407280"/>
        <c:scaling>
          <c:orientation val="minMax"/>
        </c:scaling>
        <c:delete val="0"/>
        <c:axPos val="l"/>
        <c:numFmt formatCode="General" sourceLinked="0"/>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0" b="0" i="0" u="none" strike="noStrike" kern="1200" baseline="0">
                <a:solidFill>
                  <a:schemeClr val="tx1"/>
                </a:solidFill>
                <a:latin typeface="Arial" pitchFamily="34" charset="0"/>
                <a:ea typeface="+mn-ea"/>
                <a:cs typeface="Arial" pitchFamily="34" charset="0"/>
              </a:defRPr>
            </a:pPr>
            <a:endParaRPr lang="es-MX"/>
          </a:p>
        </c:txPr>
        <c:crossAx val="1129623680"/>
        <c:crossesAt val="0"/>
        <c:auto val="1"/>
        <c:lblAlgn val="ctr"/>
        <c:lblOffset val="100"/>
        <c:noMultiLvlLbl val="0"/>
      </c:catAx>
      <c:valAx>
        <c:axId val="1129623680"/>
        <c:scaling>
          <c:orientation val="minMax"/>
          <c:max val="20"/>
          <c:min val="-18"/>
        </c:scaling>
        <c:delete val="0"/>
        <c:axPos val="b"/>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crossAx val="1399407280"/>
        <c:crosses val="autoZero"/>
        <c:crossBetween val="between"/>
        <c:majorUnit val="9"/>
        <c:minorUnit val="1"/>
      </c:valAx>
      <c:spPr>
        <a:noFill/>
        <a:ln>
          <a:noFill/>
        </a:ln>
        <a:effectLst>
          <a:outerShdw blurRad="50800" dist="12700" dir="5400000" algn="ctr" rotWithShape="0">
            <a:schemeClr val="bg1"/>
          </a:outerShdw>
        </a:effectLst>
      </c:spPr>
    </c:plotArea>
    <c:plotVisOnly val="1"/>
    <c:dispBlanksAs val="gap"/>
    <c:showDLblsOverMax val="0"/>
  </c:chart>
  <c:spPr>
    <a:noFill/>
    <a:ln w="9525" cap="flat" cmpd="sng" algn="ctr">
      <a:solidFill>
        <a:schemeClr val="tx1">
          <a:tint val="75000"/>
          <a:shade val="95000"/>
          <a:satMod val="105000"/>
        </a:schemeClr>
      </a:solidFill>
      <a:prstDash val="solid"/>
      <a:round/>
    </a:ln>
    <a:effectLst>
      <a:outerShdw blurRad="50800" dist="12700" dir="5400000" algn="ctr" rotWithShape="0">
        <a:schemeClr val="tx1"/>
      </a:outerShdw>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ln>
          <a:solidFill>
            <a:prstClr val="black"/>
          </a:solidFill>
        </a:ln>
      </c:spPr>
    </c:floor>
    <c:sideWall>
      <c:thickness val="0"/>
      <c:spPr>
        <a:ln>
          <a:solidFill>
            <a:schemeClr val="tx1"/>
          </a:solidFill>
        </a:ln>
      </c:spPr>
    </c:sideWall>
    <c:backWall>
      <c:thickness val="0"/>
      <c:spPr>
        <a:ln>
          <a:solidFill>
            <a:schemeClr val="tx1"/>
          </a:solidFill>
        </a:ln>
      </c:spPr>
    </c:backWall>
    <c:plotArea>
      <c:layout>
        <c:manualLayout>
          <c:layoutTarget val="inner"/>
          <c:xMode val="edge"/>
          <c:yMode val="edge"/>
          <c:x val="0.41955436759022596"/>
          <c:y val="3.2771284622445065E-2"/>
          <c:w val="0.7110656007115187"/>
          <c:h val="0.90685324011126556"/>
        </c:manualLayout>
      </c:layout>
      <c:bar3DChart>
        <c:barDir val="bar"/>
        <c:grouping val="stacked"/>
        <c:varyColors val="0"/>
        <c:ser>
          <c:idx val="0"/>
          <c:order val="0"/>
          <c:invertIfNegative val="0"/>
          <c:dLbls>
            <c:dLbl>
              <c:idx val="0"/>
              <c:layout>
                <c:manualLayout>
                  <c:x val="-0.12216017316017316"/>
                  <c:y val="4.05316905316905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D99-413B-834A-5401D5C5390F}"/>
                </c:ext>
                <c:ext xmlns:c15="http://schemas.microsoft.com/office/drawing/2012/chart" uri="{CE6537A1-D6FC-4f65-9D91-7224C49458BB}"/>
              </c:extLst>
            </c:dLbl>
            <c:dLbl>
              <c:idx val="1"/>
              <c:layout>
                <c:manualLayout>
                  <c:x val="-8.7351010101010179E-2"/>
                  <c:y val="4.04983904983904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99-413B-834A-5401D5C5390F}"/>
                </c:ext>
                <c:ext xmlns:c15="http://schemas.microsoft.com/office/drawing/2012/chart" uri="{CE6537A1-D6FC-4f65-9D91-7224C49458BB}"/>
              </c:extLst>
            </c:dLbl>
            <c:dLbl>
              <c:idx val="2"/>
              <c:layout>
                <c:manualLayout>
                  <c:x val="-7.3793650793650883E-2"/>
                  <c:y val="4.04956154956154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5D4-4A71-BF1E-3D3EB53B4CFA}"/>
                </c:ext>
                <c:ext xmlns:c15="http://schemas.microsoft.com/office/drawing/2012/chart" uri="{CE6537A1-D6FC-4f65-9D91-7224C49458BB}"/>
              </c:extLst>
            </c:dLbl>
            <c:dLbl>
              <c:idx val="3"/>
              <c:layout>
                <c:manualLayout>
                  <c:x val="-7.1053722162845986E-2"/>
                  <c:y val="2.73423696720392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99-413B-834A-5401D5C5390F}"/>
                </c:ext>
                <c:ext xmlns:c15="http://schemas.microsoft.com/office/drawing/2012/chart" uri="{CE6537A1-D6FC-4f65-9D91-7224C49458BB}"/>
              </c:extLst>
            </c:dLbl>
            <c:dLbl>
              <c:idx val="4"/>
              <c:layout>
                <c:manualLayout>
                  <c:x val="-5.9333316148374927E-2"/>
                  <c:y val="5.71560646367129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D99-413B-834A-5401D5C5390F}"/>
                </c:ext>
                <c:ext xmlns:c15="http://schemas.microsoft.com/office/drawing/2012/chart" uri="{CE6537A1-D6FC-4f65-9D91-7224C49458BB}">
                  <c15:layout>
                    <c:manualLayout>
                      <c:w val="0.11026477394178662"/>
                      <c:h val="2.852580556981605E-2"/>
                    </c:manualLayout>
                  </c15:layout>
                </c:ext>
              </c:extLst>
            </c:dLbl>
            <c:dLbl>
              <c:idx val="5"/>
              <c:layout>
                <c:manualLayout>
                  <c:x val="-5.6591588227246054E-2"/>
                  <c:y val="2.98514760168093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82-49A3-9C71-EC84CB9A41E6}"/>
                </c:ext>
                <c:ext xmlns:c15="http://schemas.microsoft.com/office/drawing/2012/chart" uri="{CE6537A1-D6FC-4f65-9D91-7224C49458BB}">
                  <c15:layout>
                    <c:manualLayout>
                      <c:w val="0.10844480519480519"/>
                      <c:h val="3.1348373848373849E-2"/>
                    </c:manualLayout>
                  </c15:layout>
                </c:ext>
              </c:extLst>
            </c:dLbl>
            <c:dLbl>
              <c:idx val="6"/>
              <c:layout>
                <c:manualLayout>
                  <c:x val="-5.9842916261002507E-2"/>
                  <c:y val="2.72823644715875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D99-413B-834A-5401D5C5390F}"/>
                </c:ext>
                <c:ext xmlns:c15="http://schemas.microsoft.com/office/drawing/2012/chart" uri="{CE6537A1-D6FC-4f65-9D91-7224C49458BB}"/>
              </c:extLst>
            </c:dLbl>
            <c:dLbl>
              <c:idx val="7"/>
              <c:layout>
                <c:manualLayout>
                  <c:x val="-5.8192367102437643E-2"/>
                  <c:y val="1.41278910838939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D99-413B-834A-5401D5C5390F}"/>
                </c:ext>
                <c:ext xmlns:c15="http://schemas.microsoft.com/office/drawing/2012/chart" uri="{CE6537A1-D6FC-4f65-9D91-7224C49458BB}"/>
              </c:extLst>
            </c:dLbl>
            <c:dLbl>
              <c:idx val="8"/>
              <c:layout>
                <c:manualLayout>
                  <c:x val="-5.2702962620732596E-2"/>
                  <c:y val="1.41256686690624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D99-413B-834A-5401D5C5390F}"/>
                </c:ext>
                <c:ext xmlns:c15="http://schemas.microsoft.com/office/drawing/2012/chart" uri="{CE6537A1-D6FC-4f65-9D91-7224C49458BB}">
                  <c15:layout>
                    <c:manualLayout>
                      <c:w val="0.10386327561327562"/>
                      <c:h val="3.487262737262737E-2"/>
                    </c:manualLayout>
                  </c15:layout>
                </c:ext>
              </c:extLst>
            </c:dLbl>
            <c:dLbl>
              <c:idx val="9"/>
              <c:layout>
                <c:manualLayout>
                  <c:x val="-5.2083333333333336E-2"/>
                  <c:y val="5.03385503385503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D99-413B-834A-5401D5C5390F}"/>
                </c:ext>
                <c:ext xmlns:c15="http://schemas.microsoft.com/office/drawing/2012/chart" uri="{CE6537A1-D6FC-4f65-9D91-7224C49458BB}"/>
              </c:extLst>
            </c:dLbl>
            <c:dLbl>
              <c:idx val="10"/>
              <c:layout>
                <c:manualLayout>
                  <c:x val="-4.915295815295815E-2"/>
                  <c:y val="5.032190032190161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D99-413B-834A-5401D5C5390F}"/>
                </c:ext>
                <c:ext xmlns:c15="http://schemas.microsoft.com/office/drawing/2012/chart" uri="{CE6537A1-D6FC-4f65-9D91-7224C49458BB}"/>
              </c:extLst>
            </c:dLbl>
            <c:dLbl>
              <c:idx val="11"/>
              <c:layout>
                <c:manualLayout>
                  <c:x val="-4.9152597402597406E-2"/>
                  <c:y val="3.5253635253635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D99-413B-834A-5401D5C5390F}"/>
                </c:ext>
                <c:ext xmlns:c15="http://schemas.microsoft.com/office/drawing/2012/chart" uri="{CE6537A1-D6FC-4f65-9D91-7224C49458BB}"/>
              </c:extLst>
            </c:dLbl>
            <c:dLbl>
              <c:idx val="12"/>
              <c:layout>
                <c:manualLayout>
                  <c:x val="-4.7690115440115442E-2"/>
                  <c:y val="5.03024753024753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D99-413B-834A-5401D5C5390F}"/>
                </c:ext>
                <c:ext xmlns:c15="http://schemas.microsoft.com/office/drawing/2012/chart" uri="{CE6537A1-D6FC-4f65-9D91-7224C49458BB}"/>
              </c:extLst>
            </c:dLbl>
            <c:dLbl>
              <c:idx val="13"/>
              <c:layout>
                <c:manualLayout>
                  <c:x val="-4.4760101010101097E-2"/>
                  <c:y val="3.52480852480858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5D4-4A71-BF1E-3D3EB53B4CFA}"/>
                </c:ext>
                <c:ext xmlns:c15="http://schemas.microsoft.com/office/drawing/2012/chart" uri="{CE6537A1-D6FC-4f65-9D91-7224C49458BB}"/>
              </c:extLst>
            </c:dLbl>
            <c:dLbl>
              <c:idx val="14"/>
              <c:layout>
                <c:manualLayout>
                  <c:x val="-4.7239335576631458E-2"/>
                  <c:y val="3.52541664722064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D99-413B-834A-5401D5C5390F}"/>
                </c:ext>
                <c:ext xmlns:c15="http://schemas.microsoft.com/office/drawing/2012/chart" uri="{CE6537A1-D6FC-4f65-9D91-7224C49458BB}"/>
              </c:extLst>
            </c:dLbl>
            <c:dLbl>
              <c:idx val="15"/>
              <c:layout>
                <c:manualLayout>
                  <c:x val="-4.4313794696589644E-2"/>
                  <c:y val="5.54336931422955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D99-413B-834A-5401D5C5390F}"/>
                </c:ext>
                <c:ext xmlns:c15="http://schemas.microsoft.com/office/drawing/2012/chart" uri="{CE6537A1-D6FC-4f65-9D91-7224C49458BB}"/>
              </c:extLst>
            </c:dLbl>
            <c:dLbl>
              <c:idx val="16"/>
              <c:layout>
                <c:manualLayout>
                  <c:x val="-4.4314191272552782E-2"/>
                  <c:y val="3.52630561315313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D99-413B-834A-5401D5C5390F}"/>
                </c:ext>
                <c:ext xmlns:c15="http://schemas.microsoft.com/office/drawing/2012/chart" uri="{CE6537A1-D6FC-4f65-9D91-7224C49458BB}"/>
              </c:extLst>
            </c:dLbl>
            <c:dLbl>
              <c:idx val="17"/>
              <c:layout>
                <c:manualLayout>
                  <c:x val="5.3072571418373668E-2"/>
                  <c:y val="8.8896593260304782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D99-413B-834A-5401D5C5390F}"/>
                </c:ext>
                <c:ext xmlns:c15="http://schemas.microsoft.com/office/drawing/2012/chart" uri="{CE6537A1-D6FC-4f65-9D91-7224C49458BB}"/>
              </c:extLst>
            </c:dLbl>
            <c:dLbl>
              <c:idx val="18"/>
              <c:layout>
                <c:manualLayout>
                  <c:x val="5.4536729874265499E-2"/>
                  <c:y val="-5.174462756858252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D99-413B-834A-5401D5C5390F}"/>
                </c:ext>
                <c:ext xmlns:c15="http://schemas.microsoft.com/office/drawing/2012/chart" uri="{CE6537A1-D6FC-4f65-9D91-7224C49458BB}"/>
              </c:extLst>
            </c:dLbl>
            <c:dLbl>
              <c:idx val="19"/>
              <c:layout>
                <c:manualLayout>
                  <c:x val="5.3788391031831168E-2"/>
                  <c:y val="-2.82335580194727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D99-413B-834A-5401D5C5390F}"/>
                </c:ext>
                <c:ext xmlns:c15="http://schemas.microsoft.com/office/drawing/2012/chart" uri="{CE6537A1-D6FC-4f65-9D91-7224C49458BB}"/>
              </c:extLst>
            </c:dLbl>
            <c:dLbl>
              <c:idx val="20"/>
              <c:layout>
                <c:manualLayout>
                  <c:x val="5.3602396905121093E-2"/>
                  <c:y val="-2.82246683601467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D99-413B-834A-5401D5C5390F}"/>
                </c:ext>
                <c:ext xmlns:c15="http://schemas.microsoft.com/office/drawing/2012/chart" uri="{CE6537A1-D6FC-4f65-9D91-7224C49458BB}"/>
              </c:extLst>
            </c:dLbl>
            <c:dLbl>
              <c:idx val="21"/>
              <c:layout>
                <c:manualLayout>
                  <c:x val="5.240077173682417E-2"/>
                  <c:y val="-2.01817490849206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D99-413B-834A-5401D5C5390F}"/>
                </c:ext>
                <c:ext xmlns:c15="http://schemas.microsoft.com/office/drawing/2012/chart" uri="{CE6537A1-D6FC-4f65-9D91-7224C49458BB}"/>
              </c:extLst>
            </c:dLbl>
            <c:dLbl>
              <c:idx val="22"/>
              <c:layout>
                <c:manualLayout>
                  <c:x val="5.7434907012851047E-2"/>
                  <c:y val="-2.2224148320250659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D99-413B-834A-5401D5C5390F}"/>
                </c:ext>
                <c:ext xmlns:c15="http://schemas.microsoft.com/office/drawing/2012/chart" uri="{CE6537A1-D6FC-4f65-9D91-7224C49458BB}"/>
              </c:extLst>
            </c:dLbl>
            <c:dLbl>
              <c:idx val="23"/>
              <c:layout>
                <c:manualLayout>
                  <c:x val="6.1004288969041295E-2"/>
                  <c:y val="-2.8229113189809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D99-413B-834A-5401D5C5390F}"/>
                </c:ext>
                <c:ext xmlns:c15="http://schemas.microsoft.com/office/drawing/2012/chart" uri="{CE6537A1-D6FC-4f65-9D91-7224C49458BB}">
                  <c15:layout>
                    <c:manualLayout>
                      <c:w val="9.4700216450216451E-2"/>
                      <c:h val="3.487262737262737E-2"/>
                    </c:manualLayout>
                  </c15:layout>
                </c:ext>
              </c:extLst>
            </c:dLbl>
            <c:dLbl>
              <c:idx val="24"/>
              <c:layout>
                <c:manualLayout>
                  <c:x val="5.7884624155045243E-2"/>
                  <c:y val="-2.01817490849206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D99-413B-834A-5401D5C5390F}"/>
                </c:ext>
                <c:ext xmlns:c15="http://schemas.microsoft.com/office/drawing/2012/chart" uri="{CE6537A1-D6FC-4f65-9D91-7224C49458BB}"/>
              </c:extLst>
            </c:dLbl>
            <c:dLbl>
              <c:idx val="25"/>
              <c:layout>
                <c:manualLayout>
                  <c:x val="5.8972828597885669E-2"/>
                  <c:y val="-2.01906387442467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D99-413B-834A-5401D5C5390F}"/>
                </c:ext>
                <c:ext xmlns:c15="http://schemas.microsoft.com/office/drawing/2012/chart" uri="{CE6537A1-D6FC-4f65-9D91-7224C49458BB}"/>
              </c:extLst>
            </c:dLbl>
            <c:dLbl>
              <c:idx val="26"/>
              <c:layout>
                <c:manualLayout>
                  <c:x val="6.3551298092271238E-2"/>
                  <c:y val="-2.01906387442469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D99-413B-834A-5401D5C5390F}"/>
                </c:ext>
                <c:ext xmlns:c15="http://schemas.microsoft.com/office/drawing/2012/chart" uri="{CE6537A1-D6FC-4f65-9D91-7224C49458BB}"/>
              </c:extLst>
            </c:dLbl>
            <c:dLbl>
              <c:idx val="27"/>
              <c:layout>
                <c:manualLayout>
                  <c:x val="6.9307994773128809E-2"/>
                  <c:y val="-5.1248886014565703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D99-413B-834A-5401D5C5390F}"/>
                </c:ext>
                <c:ext xmlns:c15="http://schemas.microsoft.com/office/drawing/2012/chart" uri="{CE6537A1-D6FC-4f65-9D91-7224C49458BB}"/>
              </c:extLst>
            </c:dLbl>
            <c:dLbl>
              <c:idx val="28"/>
              <c:layout>
                <c:manualLayout>
                  <c:x val="7.4794226647128689E-2"/>
                  <c:y val="-2.01995284035727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D99-413B-834A-5401D5C5390F}"/>
                </c:ext>
                <c:ext xmlns:c15="http://schemas.microsoft.com/office/drawing/2012/chart" uri="{CE6537A1-D6FC-4f65-9D91-7224C49458BB}"/>
              </c:extLst>
            </c:dLbl>
            <c:dLbl>
              <c:idx val="29"/>
              <c:layout>
                <c:manualLayout>
                  <c:x val="7.3763525718942735E-2"/>
                  <c:y val="-7.0339429417214864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D99-413B-834A-5401D5C5390F}"/>
                </c:ext>
                <c:ext xmlns:c15="http://schemas.microsoft.com/office/drawing/2012/chart" uri="{CE6537A1-D6FC-4f65-9D91-7224C49458BB}"/>
              </c:extLst>
            </c:dLbl>
            <c:dLbl>
              <c:idx val="30"/>
              <c:layout>
                <c:manualLayout>
                  <c:x val="8.8681127148202518E-2"/>
                  <c:y val="-2.01995284035727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BD99-413B-834A-5401D5C5390F}"/>
                </c:ext>
                <c:ext xmlns:c15="http://schemas.microsoft.com/office/drawing/2012/chart" uri="{CE6537A1-D6FC-4f65-9D91-7224C49458BB}"/>
              </c:extLst>
            </c:dLbl>
            <c:dLbl>
              <c:idx val="31"/>
              <c:layout>
                <c:manualLayout>
                  <c:x val="0.10036710025009152"/>
                  <c:y val="-4.840889867908877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BD99-413B-834A-5401D5C5390F}"/>
                </c:ext>
                <c:ext xmlns:c15="http://schemas.microsoft.com/office/drawing/2012/chart" uri="{CE6537A1-D6FC-4f65-9D91-7224C49458BB}">
                  <c15:layout>
                    <c:manualLayout>
                      <c:w val="9.5610102376084888E-2"/>
                      <c:h val="2.9227644173606151E-2"/>
                    </c:manualLayout>
                  </c15:layout>
                </c:ext>
              </c:extLst>
            </c:dLbl>
            <c:numFmt formatCode="#,##0.00" sourceLinked="0"/>
            <c:spPr>
              <a:noFill/>
              <a:ln>
                <a:noFill/>
              </a:ln>
              <a:effectLst/>
            </c:spPr>
            <c:txPr>
              <a:bodyPr/>
              <a:lstStyle/>
              <a:p>
                <a:pPr>
                  <a:defRPr sz="600">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'Var-Ponderadas-al-Nal.'!$L$7:$L$38</c:f>
              <c:strCache>
                <c:ptCount val="32"/>
                <c:pt idx="0">
                  <c:v>México</c:v>
                </c:pt>
                <c:pt idx="1">
                  <c:v>Ciudad de México</c:v>
                </c:pt>
                <c:pt idx="2">
                  <c:v>Tabasco</c:v>
                </c:pt>
                <c:pt idx="3">
                  <c:v>Baja California Sur</c:v>
                </c:pt>
                <c:pt idx="4">
                  <c:v>Campeche</c:v>
                </c:pt>
                <c:pt idx="5">
                  <c:v>Chiapas</c:v>
                </c:pt>
                <c:pt idx="6">
                  <c:v>Quintana Roo</c:v>
                </c:pt>
                <c:pt idx="7">
                  <c:v>Puebla</c:v>
                </c:pt>
                <c:pt idx="8">
                  <c:v>Oaxaca</c:v>
                </c:pt>
                <c:pt idx="9">
                  <c:v>Morelos</c:v>
                </c:pt>
                <c:pt idx="10">
                  <c:v>Zacatecas</c:v>
                </c:pt>
                <c:pt idx="11">
                  <c:v>Veracruz de Ignacio de la Llave</c:v>
                </c:pt>
                <c:pt idx="12">
                  <c:v>Nayarit</c:v>
                </c:pt>
                <c:pt idx="13">
                  <c:v>Hidalgo</c:v>
                </c:pt>
                <c:pt idx="14">
                  <c:v>Guerrero</c:v>
                </c:pt>
                <c:pt idx="15">
                  <c:v>Querétaro</c:v>
                </c:pt>
                <c:pt idx="16">
                  <c:v>Aguascalientes</c:v>
                </c:pt>
                <c:pt idx="17">
                  <c:v>San Luis Potosí</c:v>
                </c:pt>
                <c:pt idx="18">
                  <c:v>Durango</c:v>
                </c:pt>
                <c:pt idx="19">
                  <c:v>Guanajuato</c:v>
                </c:pt>
                <c:pt idx="20">
                  <c:v>Jalisco</c:v>
                </c:pt>
                <c:pt idx="21">
                  <c:v>Yucatán</c:v>
                </c:pt>
                <c:pt idx="22">
                  <c:v>Colima</c:v>
                </c:pt>
                <c:pt idx="23">
                  <c:v>Michoacán de Ocampo</c:v>
                </c:pt>
                <c:pt idx="24">
                  <c:v>Sonora</c:v>
                </c:pt>
                <c:pt idx="25">
                  <c:v>Sinaloa</c:v>
                </c:pt>
                <c:pt idx="26">
                  <c:v>Tamaulipas</c:v>
                </c:pt>
                <c:pt idx="27">
                  <c:v>Chihuahua</c:v>
                </c:pt>
                <c:pt idx="28">
                  <c:v>Baja California</c:v>
                </c:pt>
                <c:pt idx="29">
                  <c:v>Tlaxcala</c:v>
                </c:pt>
                <c:pt idx="30">
                  <c:v>Coahuila de Zaragoza</c:v>
                </c:pt>
                <c:pt idx="31">
                  <c:v>Nuevo León</c:v>
                </c:pt>
              </c:strCache>
            </c:strRef>
          </c:cat>
          <c:val>
            <c:numRef>
              <c:f>'Var-Ponderadas-al-Nal.'!$M$7:$M$38</c:f>
              <c:numCache>
                <c:formatCode>0.00</c:formatCode>
                <c:ptCount val="32"/>
                <c:pt idx="0">
                  <c:v>-0.22315874845461081</c:v>
                </c:pt>
                <c:pt idx="1">
                  <c:v>-0.13146076766546241</c:v>
                </c:pt>
                <c:pt idx="2">
                  <c:v>-0.10277768013815483</c:v>
                </c:pt>
                <c:pt idx="3">
                  <c:v>-9.5642989358069502E-2</c:v>
                </c:pt>
                <c:pt idx="4">
                  <c:v>-6.6660008141640886E-2</c:v>
                </c:pt>
                <c:pt idx="5">
                  <c:v>-5.2357391146955687E-2</c:v>
                </c:pt>
                <c:pt idx="6">
                  <c:v>-4.7813967399947935E-2</c:v>
                </c:pt>
                <c:pt idx="7">
                  <c:v>-4.3797200247230793E-2</c:v>
                </c:pt>
                <c:pt idx="8">
                  <c:v>-3.5540339038727456E-2</c:v>
                </c:pt>
                <c:pt idx="9">
                  <c:v>-2.8027617586930873E-2</c:v>
                </c:pt>
                <c:pt idx="10">
                  <c:v>-2.7232985993355236E-2</c:v>
                </c:pt>
                <c:pt idx="11">
                  <c:v>-2.6437866083908534E-2</c:v>
                </c:pt>
                <c:pt idx="12">
                  <c:v>-2.1241783711884003E-2</c:v>
                </c:pt>
                <c:pt idx="13">
                  <c:v>-1.9704902356687808E-2</c:v>
                </c:pt>
                <c:pt idx="14">
                  <c:v>-1.5268776492720333E-2</c:v>
                </c:pt>
                <c:pt idx="15">
                  <c:v>-1.4420359646223194E-2</c:v>
                </c:pt>
                <c:pt idx="16">
                  <c:v>-7.319698143203858E-3</c:v>
                </c:pt>
                <c:pt idx="17">
                  <c:v>5.9185187683761587E-4</c:v>
                </c:pt>
                <c:pt idx="18">
                  <c:v>8.3465957839745017E-3</c:v>
                </c:pt>
                <c:pt idx="19">
                  <c:v>1.3839109366074381E-2</c:v>
                </c:pt>
                <c:pt idx="20">
                  <c:v>1.680444482838956E-2</c:v>
                </c:pt>
                <c:pt idx="21">
                  <c:v>1.705497874318786E-2</c:v>
                </c:pt>
                <c:pt idx="22">
                  <c:v>3.0007739113072165E-2</c:v>
                </c:pt>
                <c:pt idx="23">
                  <c:v>3.5347312111310786E-2</c:v>
                </c:pt>
                <c:pt idx="24">
                  <c:v>3.6083923444009278E-2</c:v>
                </c:pt>
                <c:pt idx="25">
                  <c:v>4.3936412107313132E-2</c:v>
                </c:pt>
                <c:pt idx="26">
                  <c:v>5.0702759398108053E-2</c:v>
                </c:pt>
                <c:pt idx="27">
                  <c:v>5.9361798540067207E-2</c:v>
                </c:pt>
                <c:pt idx="28">
                  <c:v>7.3911722602634955E-2</c:v>
                </c:pt>
                <c:pt idx="29">
                  <c:v>7.4831162288060693E-2</c:v>
                </c:pt>
                <c:pt idx="30">
                  <c:v>9.9897642202822129E-2</c:v>
                </c:pt>
                <c:pt idx="31">
                  <c:v>0.14363151257811207</c:v>
                </c:pt>
              </c:numCache>
            </c:numRef>
          </c:val>
          <c:extLst xmlns:c16r2="http://schemas.microsoft.com/office/drawing/2015/06/chart">
            <c:ext xmlns:c16="http://schemas.microsoft.com/office/drawing/2014/chart" uri="{C3380CC4-5D6E-409C-BE32-E72D297353CC}">
              <c16:uniqueId val="{00000020-BD99-413B-834A-5401D5C5390F}"/>
            </c:ext>
          </c:extLst>
        </c:ser>
        <c:dLbls>
          <c:showLegendKey val="0"/>
          <c:showVal val="0"/>
          <c:showCatName val="0"/>
          <c:showSerName val="0"/>
          <c:showPercent val="0"/>
          <c:showBubbleSize val="0"/>
        </c:dLbls>
        <c:gapWidth val="31"/>
        <c:gapDepth val="48"/>
        <c:shape val="cylinder"/>
        <c:axId val="1129633472"/>
        <c:axId val="1129635104"/>
        <c:axId val="0"/>
      </c:bar3DChart>
      <c:catAx>
        <c:axId val="1129633472"/>
        <c:scaling>
          <c:orientation val="minMax"/>
        </c:scaling>
        <c:delete val="0"/>
        <c:axPos val="l"/>
        <c:numFmt formatCode="General" sourceLinked="0"/>
        <c:majorTickMark val="out"/>
        <c:minorTickMark val="none"/>
        <c:tickLblPos val="low"/>
        <c:txPr>
          <a:bodyPr/>
          <a:lstStyle/>
          <a:p>
            <a:pPr>
              <a:defRPr sz="550">
                <a:latin typeface="Arial" pitchFamily="34" charset="0"/>
                <a:cs typeface="Arial" pitchFamily="34" charset="0"/>
              </a:defRPr>
            </a:pPr>
            <a:endParaRPr lang="es-MX"/>
          </a:p>
        </c:txPr>
        <c:crossAx val="1129635104"/>
        <c:crosses val="autoZero"/>
        <c:auto val="1"/>
        <c:lblAlgn val="ctr"/>
        <c:lblOffset val="100"/>
        <c:noMultiLvlLbl val="0"/>
      </c:catAx>
      <c:valAx>
        <c:axId val="1129635104"/>
        <c:scaling>
          <c:orientation val="minMax"/>
          <c:max val="0.30000000000000004"/>
          <c:min val="-0.4"/>
        </c:scaling>
        <c:delete val="0"/>
        <c:axPos val="b"/>
        <c:numFmt formatCode="#,##0.00" sourceLinked="0"/>
        <c:majorTickMark val="out"/>
        <c:minorTickMark val="none"/>
        <c:tickLblPos val="nextTo"/>
        <c:txPr>
          <a:bodyPr/>
          <a:lstStyle/>
          <a:p>
            <a:pPr>
              <a:defRPr sz="600">
                <a:latin typeface="Arial" pitchFamily="34" charset="0"/>
                <a:cs typeface="Arial" pitchFamily="34" charset="0"/>
              </a:defRPr>
            </a:pPr>
            <a:endParaRPr lang="es-MX"/>
          </a:p>
        </c:txPr>
        <c:crossAx val="1129633472"/>
        <c:crosses val="autoZero"/>
        <c:crossBetween val="between"/>
        <c:majorUnit val="0.15000000000000002"/>
      </c:valAx>
    </c:plotArea>
    <c:plotVisOnly val="1"/>
    <c:dispBlanksAs val="gap"/>
    <c:showDLblsOverMax val="0"/>
  </c:chart>
  <c:spPr>
    <a:noFill/>
    <a:effectLst>
      <a:outerShdw blurRad="50800" dist="12700" dir="5400000" algn="ctr" rotWithShape="0">
        <a:srgbClr val="000000"/>
      </a:outerShdw>
    </a:effectLst>
  </c:sp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41</Pages>
  <Words>13291</Words>
  <Characters>73105</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Rebolledo Aguilar, Dulce María</dc:creator>
  <cp:keywords/>
  <dc:description/>
  <cp:lastModifiedBy>Parra Garrido, Leslie Andrea</cp:lastModifiedBy>
  <cp:revision>8</cp:revision>
  <cp:lastPrinted>2020-02-28T16:53:00Z</cp:lastPrinted>
  <dcterms:created xsi:type="dcterms:W3CDTF">2020-02-23T03:07:00Z</dcterms:created>
  <dcterms:modified xsi:type="dcterms:W3CDTF">2020-02-28T16:59:00Z</dcterms:modified>
</cp:coreProperties>
</file>