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DE" w:rsidRDefault="007B4672" w:rsidP="007B4672">
      <w:pPr>
        <w:autoSpaceDE w:val="0"/>
        <w:autoSpaceDN w:val="0"/>
        <w:adjustRightInd w:val="0"/>
        <w:jc w:val="center"/>
        <w:rPr>
          <w:rFonts w:ascii="Arial" w:eastAsia="Calibri" w:hAnsi="Arial" w:cs="Arial"/>
          <w:b/>
          <w:spacing w:val="-1"/>
          <w:sz w:val="17"/>
          <w:szCs w:val="17"/>
        </w:rPr>
      </w:pPr>
      <w:r>
        <w:rPr>
          <w:rFonts w:ascii="Arial" w:eastAsia="Calibri" w:hAnsi="Arial" w:cs="Arial"/>
          <w:b/>
          <w:spacing w:val="-1"/>
          <w:sz w:val="17"/>
          <w:szCs w:val="17"/>
        </w:rPr>
        <w:t>PANORAMA ECONÓMICO</w:t>
      </w:r>
    </w:p>
    <w:p w:rsidR="007B4672" w:rsidRPr="007B4672" w:rsidRDefault="007B4672" w:rsidP="007B4672">
      <w:pPr>
        <w:autoSpaceDE w:val="0"/>
        <w:autoSpaceDN w:val="0"/>
        <w:adjustRightInd w:val="0"/>
        <w:jc w:val="center"/>
        <w:rPr>
          <w:rFonts w:ascii="Arial" w:eastAsia="Calibri" w:hAnsi="Arial" w:cs="Arial"/>
          <w:b/>
          <w:spacing w:val="-1"/>
          <w:sz w:val="17"/>
          <w:szCs w:val="17"/>
        </w:rPr>
      </w:pPr>
    </w:p>
    <w:p w:rsidR="004C66A7" w:rsidRDefault="004C66A7" w:rsidP="00AA10DE">
      <w:pPr>
        <w:autoSpaceDE w:val="0"/>
        <w:autoSpaceDN w:val="0"/>
        <w:adjustRightInd w:val="0"/>
        <w:jc w:val="both"/>
        <w:rPr>
          <w:rFonts w:ascii="Arial" w:eastAsia="Calibri" w:hAnsi="Arial" w:cs="Arial"/>
          <w:spacing w:val="-1"/>
          <w:sz w:val="17"/>
          <w:szCs w:val="17"/>
        </w:rPr>
      </w:pPr>
    </w:p>
    <w:p w:rsidR="00AA10DE" w:rsidRPr="00357BAC" w:rsidRDefault="00AA10DE" w:rsidP="004C66A7">
      <w:pPr>
        <w:autoSpaceDE w:val="0"/>
        <w:autoSpaceDN w:val="0"/>
        <w:adjustRightInd w:val="0"/>
        <w:spacing w:line="480" w:lineRule="auto"/>
        <w:jc w:val="both"/>
        <w:rPr>
          <w:rFonts w:ascii="Arial" w:eastAsia="Calibri" w:hAnsi="Arial" w:cs="Arial"/>
          <w:spacing w:val="-1"/>
          <w:sz w:val="22"/>
          <w:szCs w:val="17"/>
        </w:rPr>
      </w:pPr>
      <w:r w:rsidRPr="00357BAC">
        <w:rPr>
          <w:rFonts w:ascii="Arial" w:eastAsia="Calibri" w:hAnsi="Arial" w:cs="Arial"/>
          <w:spacing w:val="-1"/>
          <w:sz w:val="22"/>
          <w:szCs w:val="17"/>
        </w:rPr>
        <w:t>Las finanzas públicas sanas son un principio de buen gobierno porque aseguran el desarrollo de la Entidad, bajo esta premisa, las expectativa</w:t>
      </w:r>
      <w:r w:rsidR="00A15C35">
        <w:rPr>
          <w:rFonts w:ascii="Arial" w:eastAsia="Calibri" w:hAnsi="Arial" w:cs="Arial"/>
          <w:spacing w:val="-1"/>
          <w:sz w:val="22"/>
          <w:szCs w:val="17"/>
        </w:rPr>
        <w:t>s económicas para 2019</w:t>
      </w:r>
      <w:r w:rsidRPr="00357BAC">
        <w:rPr>
          <w:rFonts w:ascii="Arial" w:eastAsia="Calibri" w:hAnsi="Arial" w:cs="Arial"/>
          <w:spacing w:val="-1"/>
          <w:sz w:val="22"/>
          <w:szCs w:val="17"/>
        </w:rPr>
        <w:t xml:space="preserve"> estimaron un crecimiento del </w:t>
      </w:r>
      <w:r w:rsidR="002739FA" w:rsidRPr="00357BAC">
        <w:rPr>
          <w:rFonts w:ascii="Arial" w:eastAsia="Calibri" w:hAnsi="Arial" w:cs="Arial"/>
          <w:spacing w:val="-1"/>
          <w:sz w:val="22"/>
          <w:szCs w:val="17"/>
        </w:rPr>
        <w:t xml:space="preserve">Producto Interno Bruto (PIB) </w:t>
      </w:r>
      <w:r w:rsidR="00DB6BF6" w:rsidRPr="00357BAC">
        <w:rPr>
          <w:rFonts w:ascii="Arial" w:eastAsia="Calibri" w:hAnsi="Arial" w:cs="Arial"/>
          <w:spacing w:val="-1"/>
          <w:sz w:val="22"/>
          <w:szCs w:val="17"/>
        </w:rPr>
        <w:t>entre 2</w:t>
      </w:r>
      <w:r w:rsidR="00A15C35">
        <w:rPr>
          <w:rFonts w:ascii="Arial" w:eastAsia="Calibri" w:hAnsi="Arial" w:cs="Arial"/>
          <w:spacing w:val="-1"/>
          <w:sz w:val="22"/>
          <w:szCs w:val="17"/>
        </w:rPr>
        <w:t>.5</w:t>
      </w:r>
      <w:r w:rsidR="009C58B3" w:rsidRPr="00357BAC">
        <w:rPr>
          <w:rFonts w:ascii="Arial" w:eastAsia="Calibri" w:hAnsi="Arial" w:cs="Arial"/>
          <w:spacing w:val="-1"/>
          <w:sz w:val="22"/>
          <w:szCs w:val="17"/>
        </w:rPr>
        <w:t xml:space="preserve">% </w:t>
      </w:r>
      <w:r w:rsidR="00DB6BF6" w:rsidRPr="00357BAC">
        <w:rPr>
          <w:rFonts w:ascii="Arial" w:eastAsia="Calibri" w:hAnsi="Arial" w:cs="Arial"/>
          <w:spacing w:val="-1"/>
          <w:sz w:val="22"/>
          <w:szCs w:val="17"/>
        </w:rPr>
        <w:t xml:space="preserve">al </w:t>
      </w:r>
      <w:r w:rsidR="00FB0CEB">
        <w:rPr>
          <w:rFonts w:ascii="Arial" w:eastAsia="Calibri" w:hAnsi="Arial" w:cs="Arial"/>
          <w:spacing w:val="-1"/>
          <w:sz w:val="22"/>
          <w:szCs w:val="17"/>
        </w:rPr>
        <w:t>3</w:t>
      </w:r>
      <w:r w:rsidR="00A15C35">
        <w:rPr>
          <w:rFonts w:ascii="Arial" w:eastAsia="Calibri" w:hAnsi="Arial" w:cs="Arial"/>
          <w:spacing w:val="-1"/>
          <w:sz w:val="22"/>
          <w:szCs w:val="17"/>
        </w:rPr>
        <w:t>.5</w:t>
      </w:r>
      <w:r w:rsidRPr="00357BAC">
        <w:rPr>
          <w:rFonts w:ascii="Arial" w:eastAsia="Calibri" w:hAnsi="Arial" w:cs="Arial"/>
          <w:spacing w:val="-1"/>
          <w:sz w:val="22"/>
          <w:szCs w:val="17"/>
        </w:rPr>
        <w:t>% y una inflación de</w:t>
      </w:r>
      <w:r w:rsidR="004B253E" w:rsidRPr="00357BAC">
        <w:rPr>
          <w:rFonts w:ascii="Arial" w:eastAsia="Calibri" w:hAnsi="Arial" w:cs="Arial"/>
          <w:spacing w:val="-1"/>
          <w:sz w:val="22"/>
          <w:szCs w:val="17"/>
        </w:rPr>
        <w:t>l</w:t>
      </w:r>
      <w:r w:rsidRPr="00357BAC">
        <w:rPr>
          <w:rFonts w:ascii="Arial" w:eastAsia="Calibri" w:hAnsi="Arial" w:cs="Arial"/>
          <w:spacing w:val="-1"/>
          <w:sz w:val="22"/>
          <w:szCs w:val="17"/>
        </w:rPr>
        <w:t xml:space="preserve"> </w:t>
      </w:r>
      <w:r w:rsidR="00A15C35">
        <w:rPr>
          <w:rFonts w:ascii="Arial" w:eastAsia="Calibri" w:hAnsi="Arial" w:cs="Arial"/>
          <w:spacing w:val="-1"/>
          <w:sz w:val="22"/>
          <w:szCs w:val="17"/>
        </w:rPr>
        <w:t>3</w:t>
      </w:r>
      <w:r w:rsidRPr="00357BAC">
        <w:rPr>
          <w:rFonts w:ascii="Arial" w:eastAsia="Calibri" w:hAnsi="Arial" w:cs="Arial"/>
          <w:spacing w:val="-1"/>
          <w:sz w:val="22"/>
          <w:szCs w:val="17"/>
        </w:rPr>
        <w:t>%. Asimismo, el precio de la mezcla mexicana de exportación d</w:t>
      </w:r>
      <w:r w:rsidR="00A15C35">
        <w:rPr>
          <w:rFonts w:ascii="Arial" w:eastAsia="Calibri" w:hAnsi="Arial" w:cs="Arial"/>
          <w:spacing w:val="-1"/>
          <w:sz w:val="22"/>
          <w:szCs w:val="17"/>
        </w:rPr>
        <w:t xml:space="preserve">e petróleo crudo se estimó en </w:t>
      </w:r>
      <w:r w:rsidR="00FB0CEB">
        <w:rPr>
          <w:rFonts w:ascii="Arial" w:eastAsia="Calibri" w:hAnsi="Arial" w:cs="Arial"/>
          <w:spacing w:val="-1"/>
          <w:sz w:val="22"/>
          <w:szCs w:val="17"/>
        </w:rPr>
        <w:t>5</w:t>
      </w:r>
      <w:r w:rsidR="00A15C35">
        <w:rPr>
          <w:rFonts w:ascii="Arial" w:eastAsia="Calibri" w:hAnsi="Arial" w:cs="Arial"/>
          <w:spacing w:val="-1"/>
          <w:sz w:val="22"/>
          <w:szCs w:val="17"/>
        </w:rPr>
        <w:t>1</w:t>
      </w:r>
      <w:r w:rsidR="00407227" w:rsidRPr="00357BAC">
        <w:rPr>
          <w:rFonts w:ascii="Arial" w:eastAsia="Calibri" w:hAnsi="Arial" w:cs="Arial"/>
          <w:spacing w:val="-1"/>
          <w:sz w:val="22"/>
          <w:szCs w:val="17"/>
        </w:rPr>
        <w:t xml:space="preserve"> dólares por barril</w:t>
      </w:r>
      <w:r w:rsidR="008340D8">
        <w:rPr>
          <w:rFonts w:ascii="Arial" w:eastAsia="Calibri" w:hAnsi="Arial" w:cs="Arial"/>
          <w:spacing w:val="-1"/>
          <w:sz w:val="22"/>
          <w:szCs w:val="17"/>
        </w:rPr>
        <w:t xml:space="preserve"> y el tipo de cambio a $</w:t>
      </w:r>
      <w:r w:rsidR="00FC3199">
        <w:rPr>
          <w:rFonts w:ascii="Arial" w:eastAsia="Calibri" w:hAnsi="Arial" w:cs="Arial"/>
          <w:spacing w:val="-1"/>
          <w:sz w:val="22"/>
          <w:szCs w:val="17"/>
        </w:rPr>
        <w:t>20</w:t>
      </w:r>
      <w:r w:rsidR="00A01C61" w:rsidRPr="00357BAC">
        <w:rPr>
          <w:rFonts w:ascii="Arial" w:eastAsia="Calibri" w:hAnsi="Arial" w:cs="Arial"/>
          <w:spacing w:val="-1"/>
          <w:sz w:val="22"/>
          <w:szCs w:val="17"/>
        </w:rPr>
        <w:t xml:space="preserve"> por dólar.</w:t>
      </w:r>
    </w:p>
    <w:p w:rsidR="00AA10DE" w:rsidRPr="00357BAC" w:rsidRDefault="00AA10DE" w:rsidP="00AA10DE">
      <w:pPr>
        <w:autoSpaceDE w:val="0"/>
        <w:autoSpaceDN w:val="0"/>
        <w:adjustRightInd w:val="0"/>
        <w:jc w:val="both"/>
        <w:rPr>
          <w:rFonts w:ascii="Arial" w:eastAsia="Calibri" w:hAnsi="Arial" w:cs="Arial"/>
          <w:spacing w:val="-1"/>
          <w:sz w:val="22"/>
          <w:szCs w:val="17"/>
        </w:rPr>
      </w:pPr>
    </w:p>
    <w:p w:rsidR="00FC3199" w:rsidRDefault="00AA10DE" w:rsidP="004C66A7">
      <w:pPr>
        <w:autoSpaceDE w:val="0"/>
        <w:autoSpaceDN w:val="0"/>
        <w:adjustRightInd w:val="0"/>
        <w:spacing w:line="480" w:lineRule="auto"/>
        <w:jc w:val="both"/>
        <w:rPr>
          <w:rFonts w:ascii="Arial" w:eastAsia="Calibri" w:hAnsi="Arial" w:cs="Arial"/>
          <w:spacing w:val="-1"/>
          <w:sz w:val="22"/>
          <w:szCs w:val="17"/>
        </w:rPr>
      </w:pPr>
      <w:r w:rsidRPr="00357BAC">
        <w:rPr>
          <w:rFonts w:ascii="Arial" w:eastAsia="Calibri" w:hAnsi="Arial" w:cs="Arial"/>
          <w:spacing w:val="-1"/>
          <w:sz w:val="22"/>
          <w:szCs w:val="17"/>
        </w:rPr>
        <w:t xml:space="preserve">Cabe señalar </w:t>
      </w:r>
      <w:r w:rsidR="00FC3199">
        <w:rPr>
          <w:rFonts w:ascii="Arial" w:eastAsia="Calibri" w:hAnsi="Arial" w:cs="Arial"/>
          <w:spacing w:val="-1"/>
          <w:sz w:val="22"/>
          <w:szCs w:val="17"/>
        </w:rPr>
        <w:t>que al cierre del ejercicio 2019</w:t>
      </w:r>
      <w:r w:rsidRPr="00357BAC">
        <w:rPr>
          <w:rFonts w:ascii="Arial" w:eastAsia="Calibri" w:hAnsi="Arial" w:cs="Arial"/>
          <w:spacing w:val="-1"/>
          <w:sz w:val="22"/>
          <w:szCs w:val="17"/>
        </w:rPr>
        <w:t>, de acuerdo a cifras publicadas por el Banco de México</w:t>
      </w:r>
      <w:r w:rsidR="006A4C14">
        <w:rPr>
          <w:rFonts w:ascii="Arial" w:eastAsia="Calibri" w:hAnsi="Arial" w:cs="Arial"/>
          <w:spacing w:val="-1"/>
          <w:sz w:val="22"/>
          <w:szCs w:val="17"/>
        </w:rPr>
        <w:t xml:space="preserve"> (Banxico)</w:t>
      </w:r>
      <w:r w:rsidR="00521453">
        <w:rPr>
          <w:rFonts w:ascii="Arial" w:eastAsia="Calibri" w:hAnsi="Arial" w:cs="Arial"/>
          <w:spacing w:val="-1"/>
          <w:sz w:val="22"/>
          <w:szCs w:val="17"/>
        </w:rPr>
        <w:t xml:space="preserve"> en su portal de internet</w:t>
      </w:r>
      <w:r w:rsidRPr="00357BAC">
        <w:rPr>
          <w:rFonts w:ascii="Arial" w:eastAsia="Calibri" w:hAnsi="Arial" w:cs="Arial"/>
          <w:spacing w:val="-1"/>
          <w:sz w:val="22"/>
          <w:szCs w:val="17"/>
        </w:rPr>
        <w:t xml:space="preserve">, la inflación acumulada </w:t>
      </w:r>
      <w:r w:rsidR="00FC3199">
        <w:rPr>
          <w:rFonts w:ascii="Arial" w:eastAsia="Calibri" w:hAnsi="Arial" w:cs="Arial"/>
          <w:spacing w:val="-1"/>
          <w:sz w:val="22"/>
          <w:szCs w:val="17"/>
        </w:rPr>
        <w:t>anual a diciembre del 2019</w:t>
      </w:r>
      <w:r w:rsidR="00E76FD5" w:rsidRPr="00357BAC">
        <w:rPr>
          <w:rFonts w:ascii="Arial" w:eastAsia="Calibri" w:hAnsi="Arial" w:cs="Arial"/>
          <w:spacing w:val="-1"/>
          <w:sz w:val="22"/>
          <w:szCs w:val="17"/>
        </w:rPr>
        <w:t xml:space="preserve"> fue de </w:t>
      </w:r>
      <w:r w:rsidR="00FC3199">
        <w:rPr>
          <w:rFonts w:ascii="Arial" w:eastAsia="Calibri" w:hAnsi="Arial" w:cs="Arial"/>
          <w:spacing w:val="-1"/>
          <w:sz w:val="22"/>
          <w:szCs w:val="17"/>
        </w:rPr>
        <w:t>2</w:t>
      </w:r>
      <w:r w:rsidR="008340D8">
        <w:rPr>
          <w:rFonts w:ascii="Arial" w:eastAsia="Calibri" w:hAnsi="Arial" w:cs="Arial"/>
          <w:spacing w:val="-1"/>
          <w:sz w:val="22"/>
          <w:szCs w:val="17"/>
        </w:rPr>
        <w:t>.83</w:t>
      </w:r>
      <w:r w:rsidR="00195546">
        <w:rPr>
          <w:rFonts w:ascii="Arial" w:eastAsia="Calibri" w:hAnsi="Arial" w:cs="Arial"/>
          <w:spacing w:val="-1"/>
          <w:sz w:val="22"/>
          <w:szCs w:val="17"/>
        </w:rPr>
        <w:t xml:space="preserve">% </w:t>
      </w:r>
      <w:r w:rsidR="00521453">
        <w:rPr>
          <w:rFonts w:ascii="Arial" w:eastAsia="Calibri" w:hAnsi="Arial" w:cs="Arial"/>
          <w:spacing w:val="-1"/>
          <w:sz w:val="22"/>
          <w:szCs w:val="17"/>
        </w:rPr>
        <w:t xml:space="preserve">y el tipo de cambio FIX cerró en diciembre </w:t>
      </w:r>
      <w:r w:rsidR="00195546">
        <w:rPr>
          <w:rFonts w:ascii="Arial" w:eastAsia="Calibri" w:hAnsi="Arial" w:cs="Arial"/>
          <w:spacing w:val="-1"/>
          <w:sz w:val="22"/>
          <w:szCs w:val="17"/>
        </w:rPr>
        <w:t xml:space="preserve">en </w:t>
      </w:r>
      <w:r w:rsidR="00521453">
        <w:rPr>
          <w:rFonts w:ascii="Arial" w:eastAsia="Calibri" w:hAnsi="Arial" w:cs="Arial"/>
          <w:spacing w:val="-1"/>
          <w:sz w:val="22"/>
          <w:szCs w:val="17"/>
        </w:rPr>
        <w:t>$</w:t>
      </w:r>
      <w:r w:rsidR="00FC3199" w:rsidRPr="00FC3199">
        <w:rPr>
          <w:rFonts w:ascii="Arial" w:eastAsia="Calibri" w:hAnsi="Arial" w:cs="Arial"/>
          <w:spacing w:val="-1"/>
          <w:sz w:val="22"/>
          <w:szCs w:val="17"/>
        </w:rPr>
        <w:t>18.8642</w:t>
      </w:r>
      <w:r w:rsidR="00FC3199">
        <w:rPr>
          <w:rFonts w:ascii="Arial" w:eastAsia="Calibri" w:hAnsi="Arial" w:cs="Arial"/>
          <w:spacing w:val="-1"/>
          <w:sz w:val="22"/>
          <w:szCs w:val="17"/>
        </w:rPr>
        <w:t>.</w:t>
      </w:r>
    </w:p>
    <w:p w:rsidR="00FC3199" w:rsidRDefault="00FC3199" w:rsidP="004C66A7">
      <w:pPr>
        <w:autoSpaceDE w:val="0"/>
        <w:autoSpaceDN w:val="0"/>
        <w:adjustRightInd w:val="0"/>
        <w:spacing w:line="480" w:lineRule="auto"/>
        <w:jc w:val="both"/>
        <w:rPr>
          <w:rFonts w:ascii="Arial" w:eastAsia="Calibri" w:hAnsi="Arial" w:cs="Arial"/>
          <w:spacing w:val="-1"/>
          <w:sz w:val="22"/>
          <w:szCs w:val="17"/>
        </w:rPr>
      </w:pPr>
    </w:p>
    <w:p w:rsidR="006A6452" w:rsidRDefault="006A6452" w:rsidP="004C66A7">
      <w:pPr>
        <w:autoSpaceDE w:val="0"/>
        <w:autoSpaceDN w:val="0"/>
        <w:adjustRightInd w:val="0"/>
        <w:spacing w:line="480" w:lineRule="auto"/>
        <w:jc w:val="both"/>
        <w:rPr>
          <w:rFonts w:ascii="Arial" w:eastAsia="Calibri" w:hAnsi="Arial" w:cs="Arial"/>
          <w:spacing w:val="-1"/>
          <w:sz w:val="22"/>
          <w:szCs w:val="17"/>
        </w:rPr>
      </w:pPr>
      <w:r w:rsidRPr="006A6452">
        <w:rPr>
          <w:rFonts w:ascii="Arial" w:eastAsia="Calibri" w:hAnsi="Arial" w:cs="Arial"/>
          <w:spacing w:val="-1"/>
          <w:sz w:val="22"/>
          <w:szCs w:val="17"/>
        </w:rPr>
        <w:t xml:space="preserve">Según el último informe trimestral del Banco de México (BANXICO) correspondiente al tercer trimestre de 2019 (3T-2019) emitido el pasado 27 de noviembre de 2019, señala que las condiciones externas presentadas continuaron con la desaceleración de la economía mundial y sus perspectivas de crecimiento han seguido revisándose a la baja. La desaceleración refleja los efectos de las prolongadas tensiones comerciales, los elevados riesgos geopolíticos y algunos factores idiosincrásicos en varias economías. Los mercados laborales de economías avanzadas continúan mostrando fortaleza y los salarios han aumentado a un ritmo moderado. En este contexto, las inflaciones general y subyacente se mantuvieron en niveles reducidos en la mayoría de las economías avanzadas, manteniéndose así por debajo de la meta de sus respectivos bancos centrales. Así, algunos de los principales bancos centrales, tanto de las economías avanzadas como de las emergentes, implementaron acciones de relajamiento monetario. Los precios de los activos financieros presentaron fluctuaciones significativas derivadas principalmente de los altibajos en las tensiones comerciales y la evolución de las negociaciones sobre el </w:t>
      </w:r>
      <w:proofErr w:type="spellStart"/>
      <w:r w:rsidRPr="006A6452">
        <w:rPr>
          <w:rFonts w:ascii="Arial" w:eastAsia="Calibri" w:hAnsi="Arial" w:cs="Arial"/>
          <w:spacing w:val="-1"/>
          <w:sz w:val="22"/>
          <w:szCs w:val="17"/>
        </w:rPr>
        <w:t>Brexit</w:t>
      </w:r>
      <w:proofErr w:type="spellEnd"/>
      <w:r w:rsidRPr="006A6452">
        <w:rPr>
          <w:rFonts w:ascii="Arial" w:eastAsia="Calibri" w:hAnsi="Arial" w:cs="Arial"/>
          <w:spacing w:val="-1"/>
          <w:sz w:val="22"/>
          <w:szCs w:val="17"/>
        </w:rPr>
        <w:t xml:space="preserve">. No obstante, recientemente estos riesgos se han atenuado. Ello y las posturas monetarias acomodaticias han contribuido a un mejor </w:t>
      </w:r>
      <w:r w:rsidRPr="006A6452">
        <w:rPr>
          <w:rFonts w:ascii="Arial" w:eastAsia="Calibri" w:hAnsi="Arial" w:cs="Arial"/>
          <w:spacing w:val="-1"/>
          <w:sz w:val="22"/>
          <w:szCs w:val="17"/>
        </w:rPr>
        <w:lastRenderedPageBreak/>
        <w:t>desempeño de los mercados. Las tensiones comerciales y su efecto en el crecimiento global y el relajamiento de las condiciones financieras globales han afectado la composición de los flujos de capital, con contracciones en renta variable y aumentos en renta fija, así como con episodios de volatilidad en el apetito por riesgo.</w:t>
      </w:r>
    </w:p>
    <w:p w:rsidR="00727488" w:rsidRDefault="00727488" w:rsidP="004C66A7">
      <w:pPr>
        <w:autoSpaceDE w:val="0"/>
        <w:autoSpaceDN w:val="0"/>
        <w:adjustRightInd w:val="0"/>
        <w:spacing w:line="480" w:lineRule="auto"/>
        <w:jc w:val="both"/>
        <w:rPr>
          <w:rFonts w:ascii="Arial" w:eastAsia="Calibri" w:hAnsi="Arial" w:cs="Arial"/>
          <w:spacing w:val="-1"/>
          <w:sz w:val="22"/>
          <w:szCs w:val="17"/>
        </w:rPr>
      </w:pPr>
    </w:p>
    <w:p w:rsidR="006A6452" w:rsidRDefault="006A6452" w:rsidP="004C66A7">
      <w:pPr>
        <w:autoSpaceDE w:val="0"/>
        <w:autoSpaceDN w:val="0"/>
        <w:adjustRightInd w:val="0"/>
        <w:spacing w:line="480" w:lineRule="auto"/>
        <w:jc w:val="both"/>
        <w:rPr>
          <w:rFonts w:ascii="Arial" w:eastAsia="Calibri" w:hAnsi="Arial" w:cs="Arial"/>
          <w:spacing w:val="-1"/>
          <w:sz w:val="22"/>
          <w:szCs w:val="17"/>
        </w:rPr>
      </w:pPr>
      <w:r w:rsidRPr="006A6452">
        <w:rPr>
          <w:rFonts w:ascii="Arial" w:eastAsia="Calibri" w:hAnsi="Arial" w:cs="Arial"/>
          <w:spacing w:val="-1"/>
          <w:sz w:val="22"/>
          <w:szCs w:val="17"/>
        </w:rPr>
        <w:t xml:space="preserve">Con respecto a la evolución de la Economía Mexicana, BANXICO informa que en el 3T-2019 la actividad económica de México mostró un estancamiento, luego de registrar ligeras caídas entre el 4T-2018 y el 2T-2019. Dicho comportamiento reflejó una pérdida de dinamismo de la demanda agregada, en un contexto en el que prevaleció la incertidumbre asociada tanto a factores externos, como internos. La actividad industrial siguió mostrando un desempeño desfavorable, mientras que el sector servicios ha exhibido atonía. En cuanto al desempeño de la demanda interna, el consumo privado continuó mostrando debilidad. Ello como consecuencia de una desaceleración del consumo de servicios y de bienes, especialmente de origen importado. Por su parte, las remesas y la masa salarial real han mostrado una tendencia creciente. Con relación a la inversión fija bruta, prevaleció el desempeño desfavorable que este indicador ha venido registrando desde el 2S-2015 y especialmente desde inicios de 2018, como reflejo del menor gasto en maquinaria y equipo y de la debilidad de la construcción. En el 3T-2019, las exportaciones manufactureras mostraron una pérdida de dinamismo respecto del crecimiento exhibido en el 2T, en congruencia con el entorno de tensiones comerciales y de desaceleración del comercio mundial, especialmente de la producción manufacturera. En el 3T-2019, las fuentes de recursos financieros de la economía continuaron creciendo a un ritmo bajo con respecto a lo observado en años anteriores, reflejando a su interior una tasa de crecimiento menor de las fuentes externas y un ligero repunte de las internas. En el 3T-2019, tanto la tasa de desocupación nacional, como la urbana, siguieron mostrando niveles superiores a los reportados en 2018. Entre los factores que los empresarios y analistas consideran que podrían limitar el crecimiento destacan los relacionados con la </w:t>
      </w:r>
      <w:r w:rsidRPr="006A6452">
        <w:rPr>
          <w:rFonts w:ascii="Arial" w:eastAsia="Calibri" w:hAnsi="Arial" w:cs="Arial"/>
          <w:spacing w:val="-1"/>
          <w:sz w:val="22"/>
          <w:szCs w:val="17"/>
        </w:rPr>
        <w:lastRenderedPageBreak/>
        <w:t>gobernanza. En caso de tener avances en algunos problemas que por años han afectado a la economía, como el estado de derecho (corrupción, inseguridad e impunidad), se propiciaría un entorno que permitiría impulsar el crecimiento.</w:t>
      </w:r>
    </w:p>
    <w:p w:rsidR="000711BC" w:rsidRDefault="000711BC" w:rsidP="004C66A7">
      <w:pPr>
        <w:autoSpaceDE w:val="0"/>
        <w:autoSpaceDN w:val="0"/>
        <w:adjustRightInd w:val="0"/>
        <w:spacing w:line="480" w:lineRule="auto"/>
        <w:jc w:val="both"/>
        <w:rPr>
          <w:rFonts w:ascii="Arial" w:eastAsia="Calibri" w:hAnsi="Arial" w:cs="Arial"/>
          <w:spacing w:val="-1"/>
          <w:sz w:val="22"/>
          <w:szCs w:val="17"/>
        </w:rPr>
      </w:pPr>
    </w:p>
    <w:p w:rsidR="000711BC" w:rsidRDefault="000711BC" w:rsidP="004C66A7">
      <w:pPr>
        <w:autoSpaceDE w:val="0"/>
        <w:autoSpaceDN w:val="0"/>
        <w:adjustRightInd w:val="0"/>
        <w:spacing w:line="480" w:lineRule="auto"/>
        <w:jc w:val="both"/>
        <w:rPr>
          <w:rFonts w:ascii="Arial" w:eastAsia="Calibri" w:hAnsi="Arial" w:cs="Arial"/>
          <w:spacing w:val="-1"/>
          <w:sz w:val="22"/>
          <w:szCs w:val="17"/>
        </w:rPr>
      </w:pPr>
      <w:r w:rsidRPr="000711BC">
        <w:rPr>
          <w:rFonts w:ascii="Arial" w:eastAsia="Calibri" w:hAnsi="Arial" w:cs="Arial"/>
          <w:spacing w:val="-1"/>
          <w:sz w:val="22"/>
          <w:szCs w:val="17"/>
        </w:rPr>
        <w:t>BANXICO menciona en su informe en el 3T-2019, que la inflación general anual mostró una tendencia descendente. Así, mientras que en el 2T-2019 la inflación general anual promedio fue 4.21%, en el 3T se ubicó en 3.31%, registrando 3.10% en la 1Q-Nov. Este comportamiento es atribuible al importante descenso que ha exhibido la inflación no subyacente anual. Por su parte, la inflación subyacente anual continuó presentando persistencia, si bien recientemente mostró cierta reducción. En días pasados la inflación anual de México en 2019 apunta a cerrar este año como la segunda más baja del actual siglo. Al cierre de la primera quincena de diciembre, el indicador se ubica en 2.63 por ciento, según datos del Instituto Nacional de Estadística y Geografía (INEGI). De acuerdo con la última encuesta a especialistas del Banco de México, el promedio espera que el indicador cierre el año en 2.92 por ciento. De confirmarse estos datos, la inflación de todo 2019 será la segunda menor desde el 2000, solo superada por el 2.13 por ciento de 2015. La caída en el indicador ha sido impulsada, según el BANXICO, por menores variaciones en los precios de los energéticos, y en algunos productos agropecuarios. De hecho, a la primera quincena de diciembre los energéticos no sólo han subido, sino que han caído 0.08 por ciento anual, mientras que los productos agropecuarios lo han hecho en 0.17 por ciento, según cifras del INEGI. Para el siguiente año, el Banco Central estima que la inflación se mantenga en niveles cercanos al 3 por ciento, dentro del rango objetivo de la institución de 3 por ciento +/- un punto porcentual.</w:t>
      </w:r>
    </w:p>
    <w:p w:rsidR="000711BC" w:rsidRDefault="000711BC" w:rsidP="004C66A7">
      <w:pPr>
        <w:autoSpaceDE w:val="0"/>
        <w:autoSpaceDN w:val="0"/>
        <w:adjustRightInd w:val="0"/>
        <w:spacing w:line="480" w:lineRule="auto"/>
        <w:jc w:val="both"/>
        <w:rPr>
          <w:rFonts w:ascii="Arial" w:eastAsia="Calibri" w:hAnsi="Arial" w:cs="Arial"/>
          <w:spacing w:val="-1"/>
          <w:sz w:val="22"/>
          <w:szCs w:val="17"/>
        </w:rPr>
      </w:pPr>
    </w:p>
    <w:p w:rsidR="000711BC" w:rsidRDefault="000711BC" w:rsidP="004C66A7">
      <w:pPr>
        <w:autoSpaceDE w:val="0"/>
        <w:autoSpaceDN w:val="0"/>
        <w:adjustRightInd w:val="0"/>
        <w:spacing w:line="480" w:lineRule="auto"/>
        <w:jc w:val="both"/>
        <w:rPr>
          <w:rFonts w:ascii="Arial" w:eastAsia="Calibri" w:hAnsi="Arial" w:cs="Arial"/>
          <w:spacing w:val="-1"/>
          <w:sz w:val="22"/>
          <w:szCs w:val="17"/>
        </w:rPr>
      </w:pPr>
      <w:r w:rsidRPr="000711BC">
        <w:rPr>
          <w:rFonts w:ascii="Arial" w:eastAsia="Calibri" w:hAnsi="Arial" w:cs="Arial"/>
          <w:spacing w:val="-1"/>
          <w:sz w:val="22"/>
          <w:szCs w:val="17"/>
        </w:rPr>
        <w:t xml:space="preserve">Sobre la conducción de la Política Monetaria, la Junta de Gobierno de BANXICO durante las reuniones de los pasados meses de agosto, septiembre y noviembre se llevaron a cabo reducciones en cada una de ellas de 25pb en la Tasa, llegando a un nivel de 7.50%. En los </w:t>
      </w:r>
      <w:r w:rsidRPr="000711BC">
        <w:rPr>
          <w:rFonts w:ascii="Arial" w:eastAsia="Calibri" w:hAnsi="Arial" w:cs="Arial"/>
          <w:spacing w:val="-1"/>
          <w:sz w:val="22"/>
          <w:szCs w:val="17"/>
        </w:rPr>
        <w:lastRenderedPageBreak/>
        <w:t>comunicados de las reuniones se destacó que dichas reducciones se derivaron con base a los siguientes factores que se estaban observando:</w:t>
      </w:r>
    </w:p>
    <w:p w:rsidR="00B80167" w:rsidRPr="00B80167" w:rsidRDefault="00B80167" w:rsidP="00B80167">
      <w:pPr>
        <w:autoSpaceDE w:val="0"/>
        <w:autoSpaceDN w:val="0"/>
        <w:adjustRightInd w:val="0"/>
        <w:spacing w:line="480" w:lineRule="auto"/>
        <w:jc w:val="both"/>
        <w:rPr>
          <w:rFonts w:ascii="Arial" w:eastAsia="Calibri" w:hAnsi="Arial" w:cs="Arial"/>
          <w:spacing w:val="-1"/>
          <w:sz w:val="22"/>
          <w:szCs w:val="17"/>
        </w:rPr>
      </w:pPr>
    </w:p>
    <w:p w:rsidR="00B80167" w:rsidRPr="00B80167" w:rsidRDefault="00B80167" w:rsidP="00B80167">
      <w:pPr>
        <w:autoSpaceDE w:val="0"/>
        <w:autoSpaceDN w:val="0"/>
        <w:adjustRightInd w:val="0"/>
        <w:spacing w:line="480" w:lineRule="auto"/>
        <w:jc w:val="both"/>
        <w:rPr>
          <w:rFonts w:ascii="Arial" w:eastAsia="Calibri" w:hAnsi="Arial" w:cs="Arial"/>
          <w:spacing w:val="-1"/>
          <w:sz w:val="22"/>
          <w:szCs w:val="17"/>
        </w:rPr>
      </w:pPr>
      <w:r w:rsidRPr="00B80167">
        <w:rPr>
          <w:rFonts w:ascii="Arial" w:eastAsia="Calibri" w:hAnsi="Arial" w:cs="Arial"/>
          <w:spacing w:val="-1"/>
          <w:sz w:val="22"/>
          <w:szCs w:val="17"/>
        </w:rPr>
        <w:t>•</w:t>
      </w:r>
      <w:r w:rsidRPr="00B80167">
        <w:rPr>
          <w:rFonts w:ascii="Arial" w:eastAsia="Calibri" w:hAnsi="Arial" w:cs="Arial"/>
          <w:spacing w:val="-1"/>
          <w:sz w:val="22"/>
          <w:szCs w:val="17"/>
        </w:rPr>
        <w:tab/>
        <w:t>Los menores niveles que registraba la inflación general.</w:t>
      </w:r>
    </w:p>
    <w:p w:rsidR="00B80167" w:rsidRPr="00B80167" w:rsidRDefault="00B80167" w:rsidP="00B80167">
      <w:pPr>
        <w:autoSpaceDE w:val="0"/>
        <w:autoSpaceDN w:val="0"/>
        <w:adjustRightInd w:val="0"/>
        <w:spacing w:line="480" w:lineRule="auto"/>
        <w:jc w:val="both"/>
        <w:rPr>
          <w:rFonts w:ascii="Arial" w:eastAsia="Calibri" w:hAnsi="Arial" w:cs="Arial"/>
          <w:spacing w:val="-1"/>
          <w:sz w:val="22"/>
          <w:szCs w:val="17"/>
        </w:rPr>
      </w:pPr>
      <w:r w:rsidRPr="00B80167">
        <w:rPr>
          <w:rFonts w:ascii="Arial" w:eastAsia="Calibri" w:hAnsi="Arial" w:cs="Arial"/>
          <w:spacing w:val="-1"/>
          <w:sz w:val="22"/>
          <w:szCs w:val="17"/>
        </w:rPr>
        <w:t>•</w:t>
      </w:r>
      <w:r w:rsidRPr="00B80167">
        <w:rPr>
          <w:rFonts w:ascii="Arial" w:eastAsia="Calibri" w:hAnsi="Arial" w:cs="Arial"/>
          <w:spacing w:val="-1"/>
          <w:sz w:val="22"/>
          <w:szCs w:val="17"/>
        </w:rPr>
        <w:tab/>
        <w:t>La mayor amplitud de las condiciones de holgura en la economía.</w:t>
      </w:r>
    </w:p>
    <w:p w:rsidR="00B80167" w:rsidRPr="00B80167" w:rsidRDefault="00B80167" w:rsidP="00B80167">
      <w:pPr>
        <w:autoSpaceDE w:val="0"/>
        <w:autoSpaceDN w:val="0"/>
        <w:adjustRightInd w:val="0"/>
        <w:spacing w:line="480" w:lineRule="auto"/>
        <w:jc w:val="both"/>
        <w:rPr>
          <w:rFonts w:ascii="Arial" w:eastAsia="Calibri" w:hAnsi="Arial" w:cs="Arial"/>
          <w:spacing w:val="-1"/>
          <w:sz w:val="22"/>
          <w:szCs w:val="17"/>
        </w:rPr>
      </w:pPr>
      <w:r w:rsidRPr="00B80167">
        <w:rPr>
          <w:rFonts w:ascii="Arial" w:eastAsia="Calibri" w:hAnsi="Arial" w:cs="Arial"/>
          <w:spacing w:val="-1"/>
          <w:sz w:val="22"/>
          <w:szCs w:val="17"/>
        </w:rPr>
        <w:t>•</w:t>
      </w:r>
      <w:r w:rsidRPr="00B80167">
        <w:rPr>
          <w:rFonts w:ascii="Arial" w:eastAsia="Calibri" w:hAnsi="Arial" w:cs="Arial"/>
          <w:spacing w:val="-1"/>
          <w:sz w:val="22"/>
          <w:szCs w:val="17"/>
        </w:rPr>
        <w:tab/>
        <w:t>El comportamiento reciente de las curvas de rendimiento externas e internas.</w:t>
      </w:r>
    </w:p>
    <w:p w:rsidR="00B80167" w:rsidRPr="00B80167" w:rsidRDefault="00B80167" w:rsidP="00B80167">
      <w:pPr>
        <w:autoSpaceDE w:val="0"/>
        <w:autoSpaceDN w:val="0"/>
        <w:adjustRightInd w:val="0"/>
        <w:spacing w:line="480" w:lineRule="auto"/>
        <w:jc w:val="both"/>
        <w:rPr>
          <w:rFonts w:ascii="Arial" w:eastAsia="Calibri" w:hAnsi="Arial" w:cs="Arial"/>
          <w:spacing w:val="-1"/>
          <w:sz w:val="22"/>
          <w:szCs w:val="17"/>
        </w:rPr>
      </w:pPr>
    </w:p>
    <w:p w:rsidR="00B80167" w:rsidRPr="00B80167" w:rsidRDefault="00B80167" w:rsidP="00B80167">
      <w:pPr>
        <w:autoSpaceDE w:val="0"/>
        <w:autoSpaceDN w:val="0"/>
        <w:adjustRightInd w:val="0"/>
        <w:spacing w:line="480" w:lineRule="auto"/>
        <w:jc w:val="both"/>
        <w:rPr>
          <w:rFonts w:ascii="Arial" w:eastAsia="Calibri" w:hAnsi="Arial" w:cs="Arial"/>
          <w:spacing w:val="-1"/>
          <w:sz w:val="22"/>
          <w:szCs w:val="17"/>
        </w:rPr>
      </w:pPr>
      <w:r w:rsidRPr="00B80167">
        <w:rPr>
          <w:rFonts w:ascii="Arial" w:eastAsia="Calibri" w:hAnsi="Arial" w:cs="Arial"/>
          <w:spacing w:val="-1"/>
          <w:sz w:val="22"/>
          <w:szCs w:val="17"/>
        </w:rPr>
        <w:t>Las tasas de interés en México han reflejado los efectos de las menores tasas de interés externas, registrando disminuciones en todos sus plazos, mientras que las de corto plazo estuvieron influidas, principalmente, por las reducciones en la tasa de interés objetivo. Si bien la moneda nacional presentó una depreciación en la primera parte del 3T-2019 asociada a un menor apetito por riesgo global, esta se ha revertido parcialmente acompañada de menores niveles de volatilidad. Ello se debe, en parte, aun mayor apetito por riesgo asociado a las menores tensiones comerciales entre China y Estados Unidos. Las expectativas de inflación de corto plazo provenientes de encuestas han seguido a la información más reciente, mientras que las de mayor plazo han permanecido relativamente estables, si bien en niveles superiores a 3%. Por su parte, la compensación por inflación y riesgo inflacionario extraída de instrumentos de mercado registró una disminución.</w:t>
      </w:r>
    </w:p>
    <w:p w:rsidR="00B80167" w:rsidRPr="00B80167" w:rsidRDefault="00B80167" w:rsidP="00B80167">
      <w:pPr>
        <w:autoSpaceDE w:val="0"/>
        <w:autoSpaceDN w:val="0"/>
        <w:adjustRightInd w:val="0"/>
        <w:spacing w:line="480" w:lineRule="auto"/>
        <w:jc w:val="both"/>
        <w:rPr>
          <w:rFonts w:ascii="Arial" w:eastAsia="Calibri" w:hAnsi="Arial" w:cs="Arial"/>
          <w:spacing w:val="-1"/>
          <w:sz w:val="22"/>
          <w:szCs w:val="17"/>
        </w:rPr>
      </w:pPr>
    </w:p>
    <w:p w:rsidR="00B80167" w:rsidRPr="00B80167" w:rsidRDefault="00B80167" w:rsidP="00B80167">
      <w:pPr>
        <w:autoSpaceDE w:val="0"/>
        <w:autoSpaceDN w:val="0"/>
        <w:adjustRightInd w:val="0"/>
        <w:spacing w:line="480" w:lineRule="auto"/>
        <w:jc w:val="both"/>
        <w:rPr>
          <w:rFonts w:ascii="Arial" w:eastAsia="Calibri" w:hAnsi="Arial" w:cs="Arial"/>
          <w:spacing w:val="-1"/>
          <w:sz w:val="22"/>
          <w:szCs w:val="17"/>
        </w:rPr>
      </w:pPr>
      <w:r w:rsidRPr="00B80167">
        <w:rPr>
          <w:rFonts w:ascii="Arial" w:eastAsia="Calibri" w:hAnsi="Arial" w:cs="Arial"/>
          <w:spacing w:val="-1"/>
          <w:sz w:val="22"/>
          <w:szCs w:val="17"/>
        </w:rPr>
        <w:t xml:space="preserve">Las previsiones para la Actividad Económica, BANXICO estima en su Informe que se anticipa que la economía empiece a mostrar tasas de crecimiento más elevadas a partir del 2020, si bien la recuperación se retrasó respecto a lo previsto en el Informe anterior. En un entorno </w:t>
      </w:r>
      <w:r w:rsidRPr="00B80167">
        <w:rPr>
          <w:rFonts w:ascii="Arial" w:eastAsia="Calibri" w:hAnsi="Arial" w:cs="Arial"/>
          <w:spacing w:val="-1"/>
          <w:sz w:val="22"/>
          <w:szCs w:val="17"/>
        </w:rPr>
        <w:lastRenderedPageBreak/>
        <w:t>de marcada incertidumbre, los elementos de riesgo externos e internos que persisten dan lugar a que el balance de riesgos para la actividad económica del país se mantenga sesgado a la baja. Por lo que los riesgos para el escenario de crecimiento en el horizonte de pronóstico serían:</w:t>
      </w:r>
    </w:p>
    <w:p w:rsidR="00B80167" w:rsidRPr="00B80167" w:rsidRDefault="00B80167" w:rsidP="00B80167">
      <w:pPr>
        <w:autoSpaceDE w:val="0"/>
        <w:autoSpaceDN w:val="0"/>
        <w:adjustRightInd w:val="0"/>
        <w:spacing w:line="480" w:lineRule="auto"/>
        <w:jc w:val="both"/>
        <w:rPr>
          <w:rFonts w:ascii="Arial" w:eastAsia="Calibri" w:hAnsi="Arial" w:cs="Arial"/>
          <w:spacing w:val="-1"/>
          <w:sz w:val="22"/>
          <w:szCs w:val="17"/>
        </w:rPr>
      </w:pPr>
    </w:p>
    <w:p w:rsidR="00B80167" w:rsidRPr="00B80167" w:rsidRDefault="00B80167" w:rsidP="00B80167">
      <w:pPr>
        <w:autoSpaceDE w:val="0"/>
        <w:autoSpaceDN w:val="0"/>
        <w:adjustRightInd w:val="0"/>
        <w:spacing w:line="480" w:lineRule="auto"/>
        <w:jc w:val="both"/>
        <w:rPr>
          <w:rFonts w:ascii="Arial" w:eastAsia="Calibri" w:hAnsi="Arial" w:cs="Arial"/>
          <w:spacing w:val="-1"/>
          <w:sz w:val="22"/>
          <w:szCs w:val="17"/>
        </w:rPr>
      </w:pPr>
      <w:r w:rsidRPr="00B80167">
        <w:rPr>
          <w:rFonts w:ascii="Arial" w:eastAsia="Calibri" w:hAnsi="Arial" w:cs="Arial"/>
          <w:spacing w:val="-1"/>
          <w:sz w:val="22"/>
          <w:szCs w:val="17"/>
        </w:rPr>
        <w:t>•</w:t>
      </w:r>
      <w:r w:rsidRPr="00B80167">
        <w:rPr>
          <w:rFonts w:ascii="Arial" w:eastAsia="Calibri" w:hAnsi="Arial" w:cs="Arial"/>
          <w:spacing w:val="-1"/>
          <w:sz w:val="22"/>
          <w:szCs w:val="17"/>
        </w:rPr>
        <w:tab/>
        <w:t>A la baja derivado al agravamiento de las tensiones comerciales, prolongación del proceso de ratificación del T-MEC en Estados Unidos y Canadá, episodios de volatilidad en los mercados financieros internacionales, desaceleración mayor a la esperada de la economía y el comercio globales, mayor persistencia en la debilidad de los componentes de la demanda agregada, deterioro en la calificación de la deuda soberana o de Pemex, así como el ejercicio del gasto público en 2020 menor al esperado.</w:t>
      </w:r>
    </w:p>
    <w:p w:rsidR="00B80167" w:rsidRPr="00B80167" w:rsidRDefault="00B80167" w:rsidP="00B80167">
      <w:pPr>
        <w:autoSpaceDE w:val="0"/>
        <w:autoSpaceDN w:val="0"/>
        <w:adjustRightInd w:val="0"/>
        <w:spacing w:line="480" w:lineRule="auto"/>
        <w:jc w:val="both"/>
        <w:rPr>
          <w:rFonts w:ascii="Arial" w:eastAsia="Calibri" w:hAnsi="Arial" w:cs="Arial"/>
          <w:spacing w:val="-1"/>
          <w:sz w:val="22"/>
          <w:szCs w:val="17"/>
        </w:rPr>
      </w:pPr>
      <w:r w:rsidRPr="00B80167">
        <w:rPr>
          <w:rFonts w:ascii="Arial" w:eastAsia="Calibri" w:hAnsi="Arial" w:cs="Arial"/>
          <w:spacing w:val="-1"/>
          <w:sz w:val="22"/>
          <w:szCs w:val="17"/>
        </w:rPr>
        <w:t>•</w:t>
      </w:r>
      <w:r w:rsidRPr="00B80167">
        <w:rPr>
          <w:rFonts w:ascii="Arial" w:eastAsia="Calibri" w:hAnsi="Arial" w:cs="Arial"/>
          <w:spacing w:val="-1"/>
          <w:sz w:val="22"/>
          <w:szCs w:val="17"/>
        </w:rPr>
        <w:tab/>
        <w:t>Al alza con la formalización del T-MEC, dinamismo de la producción industrial en Estados Unidos mayor al anticipado así como de la demanda agregada a mayor al previsto.</w:t>
      </w:r>
    </w:p>
    <w:p w:rsidR="00B80167" w:rsidRPr="00B80167" w:rsidRDefault="00B80167" w:rsidP="00B80167">
      <w:pPr>
        <w:autoSpaceDE w:val="0"/>
        <w:autoSpaceDN w:val="0"/>
        <w:adjustRightInd w:val="0"/>
        <w:spacing w:line="480" w:lineRule="auto"/>
        <w:jc w:val="both"/>
        <w:rPr>
          <w:rFonts w:ascii="Arial" w:eastAsia="Calibri" w:hAnsi="Arial" w:cs="Arial"/>
          <w:spacing w:val="-1"/>
          <w:sz w:val="22"/>
          <w:szCs w:val="17"/>
        </w:rPr>
      </w:pPr>
    </w:p>
    <w:p w:rsidR="00B80167" w:rsidRPr="00B80167" w:rsidRDefault="00B80167" w:rsidP="00B80167">
      <w:pPr>
        <w:autoSpaceDE w:val="0"/>
        <w:autoSpaceDN w:val="0"/>
        <w:adjustRightInd w:val="0"/>
        <w:spacing w:line="480" w:lineRule="auto"/>
        <w:jc w:val="both"/>
        <w:rPr>
          <w:rFonts w:ascii="Arial" w:eastAsia="Calibri" w:hAnsi="Arial" w:cs="Arial"/>
          <w:spacing w:val="-1"/>
          <w:sz w:val="22"/>
          <w:szCs w:val="17"/>
        </w:rPr>
      </w:pPr>
      <w:r w:rsidRPr="00B80167">
        <w:rPr>
          <w:rFonts w:ascii="Arial" w:eastAsia="Calibri" w:hAnsi="Arial" w:cs="Arial"/>
          <w:spacing w:val="-1"/>
          <w:sz w:val="22"/>
          <w:szCs w:val="17"/>
        </w:rPr>
        <w:t xml:space="preserve">Se continúa anticipando que la inflación general se mantenga en niveles cercanos a 3%, si bien se prevé que presente un ligero aumento en el 1T-2020. En cuanto a la inflación subyacente anual, se espera que se ubique en niveles cercanos a 3% desde el 3T-2020. Los riesgos para el escenario de Inflación, en este contexto, se </w:t>
      </w:r>
      <w:proofErr w:type="gramStart"/>
      <w:r w:rsidRPr="00B80167">
        <w:rPr>
          <w:rFonts w:ascii="Arial" w:eastAsia="Calibri" w:hAnsi="Arial" w:cs="Arial"/>
          <w:spacing w:val="-1"/>
          <w:sz w:val="22"/>
          <w:szCs w:val="17"/>
        </w:rPr>
        <w:t>mantiene</w:t>
      </w:r>
      <w:proofErr w:type="gramEnd"/>
      <w:r w:rsidRPr="00B80167">
        <w:rPr>
          <w:rFonts w:ascii="Arial" w:eastAsia="Calibri" w:hAnsi="Arial" w:cs="Arial"/>
          <w:spacing w:val="-1"/>
          <w:sz w:val="22"/>
          <w:szCs w:val="17"/>
        </w:rPr>
        <w:t xml:space="preserve"> incertidumbre en cuanto a los riesgos que pudieran desviar la inflación respecto de la trayectoria esperada.</w:t>
      </w:r>
    </w:p>
    <w:p w:rsidR="00B80167" w:rsidRPr="00B80167" w:rsidRDefault="00B80167" w:rsidP="00B80167">
      <w:pPr>
        <w:autoSpaceDE w:val="0"/>
        <w:autoSpaceDN w:val="0"/>
        <w:adjustRightInd w:val="0"/>
        <w:spacing w:line="480" w:lineRule="auto"/>
        <w:jc w:val="both"/>
        <w:rPr>
          <w:rFonts w:ascii="Arial" w:eastAsia="Calibri" w:hAnsi="Arial" w:cs="Arial"/>
          <w:spacing w:val="-1"/>
          <w:sz w:val="22"/>
          <w:szCs w:val="17"/>
        </w:rPr>
      </w:pPr>
    </w:p>
    <w:p w:rsidR="00B80167" w:rsidRPr="00B80167" w:rsidRDefault="00B80167" w:rsidP="00B80167">
      <w:pPr>
        <w:autoSpaceDE w:val="0"/>
        <w:autoSpaceDN w:val="0"/>
        <w:adjustRightInd w:val="0"/>
        <w:spacing w:line="480" w:lineRule="auto"/>
        <w:jc w:val="both"/>
        <w:rPr>
          <w:rFonts w:ascii="Arial" w:eastAsia="Calibri" w:hAnsi="Arial" w:cs="Arial"/>
          <w:spacing w:val="-1"/>
          <w:sz w:val="22"/>
          <w:szCs w:val="17"/>
        </w:rPr>
      </w:pPr>
      <w:r w:rsidRPr="00B80167">
        <w:rPr>
          <w:rFonts w:ascii="Arial" w:eastAsia="Calibri" w:hAnsi="Arial" w:cs="Arial"/>
          <w:spacing w:val="-1"/>
          <w:sz w:val="22"/>
          <w:szCs w:val="17"/>
        </w:rPr>
        <w:t>De las Consideraciones Finales BANXICO establece en su informe lo siguiente:</w:t>
      </w:r>
    </w:p>
    <w:p w:rsidR="00B80167" w:rsidRPr="00B80167" w:rsidRDefault="00B80167" w:rsidP="00B80167">
      <w:pPr>
        <w:autoSpaceDE w:val="0"/>
        <w:autoSpaceDN w:val="0"/>
        <w:adjustRightInd w:val="0"/>
        <w:spacing w:line="480" w:lineRule="auto"/>
        <w:jc w:val="both"/>
        <w:rPr>
          <w:rFonts w:ascii="Arial" w:eastAsia="Calibri" w:hAnsi="Arial" w:cs="Arial"/>
          <w:spacing w:val="-1"/>
          <w:sz w:val="22"/>
          <w:szCs w:val="17"/>
        </w:rPr>
      </w:pPr>
    </w:p>
    <w:p w:rsidR="00B80167" w:rsidRPr="00B80167" w:rsidRDefault="00B80167" w:rsidP="00B80167">
      <w:pPr>
        <w:autoSpaceDE w:val="0"/>
        <w:autoSpaceDN w:val="0"/>
        <w:adjustRightInd w:val="0"/>
        <w:spacing w:line="480" w:lineRule="auto"/>
        <w:jc w:val="both"/>
        <w:rPr>
          <w:rFonts w:ascii="Arial" w:eastAsia="Calibri" w:hAnsi="Arial" w:cs="Arial"/>
          <w:spacing w:val="-1"/>
          <w:sz w:val="22"/>
          <w:szCs w:val="17"/>
        </w:rPr>
      </w:pPr>
      <w:r w:rsidRPr="00B80167">
        <w:rPr>
          <w:rFonts w:ascii="Arial" w:eastAsia="Calibri" w:hAnsi="Arial" w:cs="Arial"/>
          <w:spacing w:val="-1"/>
          <w:sz w:val="22"/>
          <w:szCs w:val="17"/>
        </w:rPr>
        <w:lastRenderedPageBreak/>
        <w:t>•</w:t>
      </w:r>
      <w:r w:rsidRPr="00B80167">
        <w:rPr>
          <w:rFonts w:ascii="Arial" w:eastAsia="Calibri" w:hAnsi="Arial" w:cs="Arial"/>
          <w:spacing w:val="-1"/>
          <w:sz w:val="22"/>
          <w:szCs w:val="17"/>
        </w:rPr>
        <w:tab/>
        <w:t>El 25 de noviembre se anunció la aprobación, por parte del Fondo Monetario Internacional (FMI), de la solicitud de la Comisión de Cambios de renovar la Línea de Crédito Flexible por dos años más por cerca de 61 mil millones de dólares. El FMI resaltó que el país ha continuado implementando políticas económicas y marcos de política sólidos, además de que cuenta con fuertes fundamentos económicos que le han permitido transitar exitosamente por un entorno externo complejo.</w:t>
      </w:r>
    </w:p>
    <w:p w:rsidR="00B80167" w:rsidRPr="00B80167" w:rsidRDefault="00B80167" w:rsidP="00B80167">
      <w:pPr>
        <w:autoSpaceDE w:val="0"/>
        <w:autoSpaceDN w:val="0"/>
        <w:adjustRightInd w:val="0"/>
        <w:spacing w:line="480" w:lineRule="auto"/>
        <w:jc w:val="both"/>
        <w:rPr>
          <w:rFonts w:ascii="Arial" w:eastAsia="Calibri" w:hAnsi="Arial" w:cs="Arial"/>
          <w:spacing w:val="-1"/>
          <w:sz w:val="22"/>
          <w:szCs w:val="17"/>
        </w:rPr>
      </w:pPr>
      <w:r w:rsidRPr="00B80167">
        <w:rPr>
          <w:rFonts w:ascii="Arial" w:eastAsia="Calibri" w:hAnsi="Arial" w:cs="Arial"/>
          <w:spacing w:val="-1"/>
          <w:sz w:val="22"/>
          <w:szCs w:val="17"/>
        </w:rPr>
        <w:t>•</w:t>
      </w:r>
      <w:r w:rsidRPr="00B80167">
        <w:rPr>
          <w:rFonts w:ascii="Arial" w:eastAsia="Calibri" w:hAnsi="Arial" w:cs="Arial"/>
          <w:spacing w:val="-1"/>
          <w:sz w:val="22"/>
          <w:szCs w:val="17"/>
        </w:rPr>
        <w:tab/>
        <w:t xml:space="preserve">Es necesario impulsar una reactivación de la inversión propiciando un ambiente de certidumbre y que fortalezcan el clima para hacer negocios, respaldada por un marco macroeconómico sólido y </w:t>
      </w:r>
      <w:proofErr w:type="spellStart"/>
      <w:r w:rsidRPr="00B80167">
        <w:rPr>
          <w:rFonts w:ascii="Arial" w:eastAsia="Calibri" w:hAnsi="Arial" w:cs="Arial"/>
          <w:spacing w:val="-1"/>
          <w:sz w:val="22"/>
          <w:szCs w:val="17"/>
        </w:rPr>
        <w:t>resiliente</w:t>
      </w:r>
      <w:proofErr w:type="spellEnd"/>
      <w:r w:rsidRPr="00B80167">
        <w:rPr>
          <w:rFonts w:ascii="Arial" w:eastAsia="Calibri" w:hAnsi="Arial" w:cs="Arial"/>
          <w:spacing w:val="-1"/>
          <w:sz w:val="22"/>
          <w:szCs w:val="17"/>
        </w:rPr>
        <w:t>, apoyado por la disciplina fiscal, la estabilidad de precios y la estabilidad financiera.</w:t>
      </w:r>
    </w:p>
    <w:p w:rsidR="00B80167" w:rsidRPr="00B80167" w:rsidRDefault="00B80167" w:rsidP="00B80167">
      <w:pPr>
        <w:autoSpaceDE w:val="0"/>
        <w:autoSpaceDN w:val="0"/>
        <w:adjustRightInd w:val="0"/>
        <w:spacing w:line="480" w:lineRule="auto"/>
        <w:jc w:val="both"/>
        <w:rPr>
          <w:rFonts w:ascii="Arial" w:eastAsia="Calibri" w:hAnsi="Arial" w:cs="Arial"/>
          <w:spacing w:val="-1"/>
          <w:sz w:val="22"/>
          <w:szCs w:val="17"/>
        </w:rPr>
      </w:pPr>
      <w:r w:rsidRPr="00B80167">
        <w:rPr>
          <w:rFonts w:ascii="Arial" w:eastAsia="Calibri" w:hAnsi="Arial" w:cs="Arial"/>
          <w:spacing w:val="-1"/>
          <w:sz w:val="22"/>
          <w:szCs w:val="17"/>
        </w:rPr>
        <w:t>•</w:t>
      </w:r>
      <w:r w:rsidRPr="00B80167">
        <w:rPr>
          <w:rFonts w:ascii="Arial" w:eastAsia="Calibri" w:hAnsi="Arial" w:cs="Arial"/>
          <w:spacing w:val="-1"/>
          <w:sz w:val="22"/>
          <w:szCs w:val="17"/>
        </w:rPr>
        <w:tab/>
        <w:t>Se requiere fomentar una mayor competencia, proporcionar los incentivos necesarios para privilegiar la creación de valor por sobre la búsqueda de rentas, e incrementar la eficiencia con la que opera la economía. Es prioritario fortalecer el Estado de derecho a través del combate a la inseguridad, la corrupción y la impunidad, y brindar certeza jurídica.</w:t>
      </w:r>
    </w:p>
    <w:p w:rsidR="00B80167" w:rsidRPr="00975377" w:rsidRDefault="00B80167" w:rsidP="00975377">
      <w:pPr>
        <w:autoSpaceDE w:val="0"/>
        <w:autoSpaceDN w:val="0"/>
        <w:adjustRightInd w:val="0"/>
        <w:spacing w:line="480" w:lineRule="auto"/>
        <w:jc w:val="both"/>
        <w:rPr>
          <w:rFonts w:ascii="Arial" w:eastAsia="Calibri" w:hAnsi="Arial" w:cs="Arial"/>
          <w:spacing w:val="-1"/>
          <w:sz w:val="22"/>
          <w:szCs w:val="17"/>
        </w:rPr>
      </w:pPr>
    </w:p>
    <w:p w:rsidR="00AA10DE" w:rsidRDefault="00AF6AC2" w:rsidP="00C45BFE">
      <w:pPr>
        <w:autoSpaceDE w:val="0"/>
        <w:autoSpaceDN w:val="0"/>
        <w:adjustRightInd w:val="0"/>
        <w:spacing w:line="480" w:lineRule="auto"/>
        <w:jc w:val="both"/>
        <w:rPr>
          <w:rFonts w:ascii="Arial" w:eastAsia="Calibri" w:hAnsi="Arial" w:cs="Arial"/>
          <w:spacing w:val="-1"/>
          <w:sz w:val="22"/>
          <w:szCs w:val="17"/>
        </w:rPr>
      </w:pPr>
      <w:r>
        <w:rPr>
          <w:rFonts w:ascii="Arial" w:eastAsia="Calibri" w:hAnsi="Arial" w:cs="Arial"/>
          <w:spacing w:val="-1"/>
          <w:sz w:val="22"/>
          <w:szCs w:val="17"/>
        </w:rPr>
        <w:t xml:space="preserve">De acuerdo al </w:t>
      </w:r>
      <w:r w:rsidRPr="00AF6AC2">
        <w:rPr>
          <w:rFonts w:ascii="Arial" w:eastAsia="Calibri" w:hAnsi="Arial" w:cs="Arial"/>
          <w:spacing w:val="-1"/>
          <w:sz w:val="22"/>
          <w:szCs w:val="17"/>
        </w:rPr>
        <w:t>I</w:t>
      </w:r>
      <w:r>
        <w:rPr>
          <w:rFonts w:ascii="Arial" w:eastAsia="Calibri" w:hAnsi="Arial" w:cs="Arial"/>
          <w:spacing w:val="-1"/>
          <w:sz w:val="22"/>
          <w:szCs w:val="17"/>
        </w:rPr>
        <w:t>ndicador Trimestral de l</w:t>
      </w:r>
      <w:r w:rsidRPr="00AF6AC2">
        <w:rPr>
          <w:rFonts w:ascii="Arial" w:eastAsia="Calibri" w:hAnsi="Arial" w:cs="Arial"/>
          <w:spacing w:val="-1"/>
          <w:sz w:val="22"/>
          <w:szCs w:val="17"/>
        </w:rPr>
        <w:t xml:space="preserve">a Actividad Económica Estatal </w:t>
      </w:r>
      <w:r>
        <w:rPr>
          <w:rFonts w:ascii="Arial" w:eastAsia="Calibri" w:hAnsi="Arial" w:cs="Arial"/>
          <w:spacing w:val="-1"/>
          <w:sz w:val="22"/>
          <w:szCs w:val="17"/>
        </w:rPr>
        <w:t>(ITAEE) durante el t</w:t>
      </w:r>
      <w:r w:rsidRPr="00AF6AC2">
        <w:rPr>
          <w:rFonts w:ascii="Arial" w:eastAsia="Calibri" w:hAnsi="Arial" w:cs="Arial"/>
          <w:spacing w:val="-1"/>
          <w:sz w:val="22"/>
          <w:szCs w:val="17"/>
        </w:rPr>
        <w:t xml:space="preserve">ercer </w:t>
      </w:r>
      <w:r>
        <w:rPr>
          <w:rFonts w:ascii="Arial" w:eastAsia="Calibri" w:hAnsi="Arial" w:cs="Arial"/>
          <w:spacing w:val="-1"/>
          <w:sz w:val="22"/>
          <w:szCs w:val="17"/>
        </w:rPr>
        <w:t>trimestre d</w:t>
      </w:r>
      <w:r w:rsidR="00EF7FDC">
        <w:rPr>
          <w:rFonts w:ascii="Arial" w:eastAsia="Calibri" w:hAnsi="Arial" w:cs="Arial"/>
          <w:spacing w:val="-1"/>
          <w:sz w:val="22"/>
          <w:szCs w:val="17"/>
        </w:rPr>
        <w:t>e 2019</w:t>
      </w:r>
      <w:r>
        <w:rPr>
          <w:rFonts w:ascii="Arial" w:eastAsia="Calibri" w:hAnsi="Arial" w:cs="Arial"/>
          <w:spacing w:val="-1"/>
          <w:sz w:val="22"/>
          <w:szCs w:val="17"/>
        </w:rPr>
        <w:t xml:space="preserve"> publicado por parte del </w:t>
      </w:r>
      <w:r w:rsidR="00EF7FDC">
        <w:rPr>
          <w:rFonts w:ascii="Arial" w:eastAsia="Calibri" w:hAnsi="Arial" w:cs="Arial"/>
          <w:spacing w:val="-1"/>
          <w:sz w:val="22"/>
          <w:szCs w:val="17"/>
        </w:rPr>
        <w:t>INEGI en el mes de enero de 2020</w:t>
      </w:r>
      <w:r>
        <w:rPr>
          <w:rFonts w:ascii="Arial" w:eastAsia="Calibri" w:hAnsi="Arial" w:cs="Arial"/>
          <w:spacing w:val="-1"/>
          <w:sz w:val="22"/>
          <w:szCs w:val="17"/>
        </w:rPr>
        <w:t>,</w:t>
      </w:r>
      <w:r w:rsidR="00E81757">
        <w:rPr>
          <w:rFonts w:ascii="Arial" w:eastAsia="Calibri" w:hAnsi="Arial" w:cs="Arial"/>
          <w:spacing w:val="-1"/>
          <w:sz w:val="22"/>
          <w:szCs w:val="17"/>
        </w:rPr>
        <w:t xml:space="preserve"> en particular para </w:t>
      </w:r>
      <w:r w:rsidR="00AA10DE" w:rsidRPr="00357BAC">
        <w:rPr>
          <w:rFonts w:ascii="Arial" w:eastAsia="Calibri" w:hAnsi="Arial" w:cs="Arial"/>
          <w:spacing w:val="-1"/>
          <w:sz w:val="22"/>
          <w:szCs w:val="17"/>
        </w:rPr>
        <w:t xml:space="preserve">el Estado de Querétaro, </w:t>
      </w:r>
      <w:r w:rsidR="00C4171C">
        <w:rPr>
          <w:rFonts w:ascii="Arial" w:eastAsia="Calibri" w:hAnsi="Arial" w:cs="Arial"/>
          <w:spacing w:val="-1"/>
          <w:sz w:val="22"/>
          <w:szCs w:val="17"/>
        </w:rPr>
        <w:t>e</w:t>
      </w:r>
      <w:r w:rsidR="00C4171C" w:rsidRPr="00C4171C">
        <w:rPr>
          <w:rFonts w:ascii="Arial" w:eastAsia="Calibri" w:hAnsi="Arial" w:cs="Arial"/>
          <w:spacing w:val="-1"/>
          <w:sz w:val="22"/>
          <w:szCs w:val="17"/>
        </w:rPr>
        <w:t xml:space="preserve">n cuanto a las variaciones anuales ajustadas por estacionalidad, </w:t>
      </w:r>
      <w:r w:rsidR="009422AF">
        <w:rPr>
          <w:rFonts w:ascii="Arial" w:eastAsia="Calibri" w:hAnsi="Arial" w:cs="Arial"/>
          <w:spacing w:val="-1"/>
          <w:sz w:val="22"/>
          <w:szCs w:val="17"/>
        </w:rPr>
        <w:t>reportó un disminución</w:t>
      </w:r>
      <w:r w:rsidR="00AA10DE" w:rsidRPr="00357BAC">
        <w:rPr>
          <w:rFonts w:ascii="Arial" w:eastAsia="Calibri" w:hAnsi="Arial" w:cs="Arial"/>
          <w:spacing w:val="-1"/>
          <w:sz w:val="22"/>
          <w:szCs w:val="17"/>
        </w:rPr>
        <w:t xml:space="preserve"> a la media nacional en su actividad económica, con una variación </w:t>
      </w:r>
      <w:r w:rsidR="005B546E">
        <w:rPr>
          <w:rFonts w:ascii="Arial" w:eastAsia="Calibri" w:hAnsi="Arial" w:cs="Arial"/>
          <w:spacing w:val="-1"/>
          <w:sz w:val="22"/>
          <w:szCs w:val="17"/>
        </w:rPr>
        <w:t>porcentual real de -0.6</w:t>
      </w:r>
      <w:r w:rsidR="00AA10DE" w:rsidRPr="00357BAC">
        <w:rPr>
          <w:rFonts w:ascii="Arial" w:eastAsia="Calibri" w:hAnsi="Arial" w:cs="Arial"/>
          <w:spacing w:val="-1"/>
          <w:sz w:val="22"/>
          <w:szCs w:val="17"/>
        </w:rPr>
        <w:t xml:space="preserve">% respecto al mismo trimestre del año anterior, </w:t>
      </w:r>
      <w:r w:rsidR="005B546E">
        <w:rPr>
          <w:rFonts w:ascii="Arial" w:eastAsia="Calibri" w:hAnsi="Arial" w:cs="Arial"/>
          <w:spacing w:val="-1"/>
          <w:sz w:val="22"/>
          <w:szCs w:val="17"/>
        </w:rPr>
        <w:t>con un</w:t>
      </w:r>
      <w:r w:rsidR="00AA10DE" w:rsidRPr="00357BAC">
        <w:rPr>
          <w:rFonts w:ascii="Arial" w:eastAsia="Calibri" w:hAnsi="Arial" w:cs="Arial"/>
          <w:spacing w:val="-1"/>
          <w:sz w:val="22"/>
          <w:szCs w:val="17"/>
        </w:rPr>
        <w:t>a contrib</w:t>
      </w:r>
      <w:r w:rsidR="005B546E">
        <w:rPr>
          <w:rFonts w:ascii="Arial" w:eastAsia="Calibri" w:hAnsi="Arial" w:cs="Arial"/>
          <w:spacing w:val="-1"/>
          <w:sz w:val="22"/>
          <w:szCs w:val="17"/>
        </w:rPr>
        <w:t>ución del Estado de Querétaro a un</w:t>
      </w:r>
      <w:r w:rsidR="00AA10DE" w:rsidRPr="00357BAC">
        <w:rPr>
          <w:rFonts w:ascii="Arial" w:eastAsia="Calibri" w:hAnsi="Arial" w:cs="Arial"/>
          <w:spacing w:val="-1"/>
          <w:sz w:val="22"/>
          <w:szCs w:val="17"/>
        </w:rPr>
        <w:t xml:space="preserve"> </w:t>
      </w:r>
      <w:r w:rsidR="005B546E">
        <w:rPr>
          <w:rFonts w:ascii="Arial" w:eastAsia="Calibri" w:hAnsi="Arial" w:cs="Arial"/>
          <w:spacing w:val="-1"/>
          <w:sz w:val="22"/>
          <w:szCs w:val="17"/>
        </w:rPr>
        <w:t>de</w:t>
      </w:r>
      <w:r w:rsidR="00AA10DE" w:rsidRPr="00357BAC">
        <w:rPr>
          <w:rFonts w:ascii="Arial" w:eastAsia="Calibri" w:hAnsi="Arial" w:cs="Arial"/>
          <w:spacing w:val="-1"/>
          <w:sz w:val="22"/>
          <w:szCs w:val="17"/>
        </w:rPr>
        <w:t>crecimie</w:t>
      </w:r>
      <w:r w:rsidR="00357BAC" w:rsidRPr="00357BAC">
        <w:rPr>
          <w:rFonts w:ascii="Arial" w:eastAsia="Calibri" w:hAnsi="Arial" w:cs="Arial"/>
          <w:spacing w:val="-1"/>
          <w:sz w:val="22"/>
          <w:szCs w:val="17"/>
        </w:rPr>
        <w:t xml:space="preserve">nto total real del ITAEE de </w:t>
      </w:r>
      <w:r w:rsidR="005B546E">
        <w:rPr>
          <w:rFonts w:ascii="Arial" w:eastAsia="Calibri" w:hAnsi="Arial" w:cs="Arial"/>
          <w:spacing w:val="-1"/>
          <w:sz w:val="22"/>
          <w:szCs w:val="17"/>
        </w:rPr>
        <w:t>-0.01</w:t>
      </w:r>
      <w:r w:rsidR="00AA10DE" w:rsidRPr="00357BAC">
        <w:rPr>
          <w:rFonts w:ascii="Arial" w:eastAsia="Calibri" w:hAnsi="Arial" w:cs="Arial"/>
          <w:spacing w:val="-1"/>
          <w:sz w:val="22"/>
          <w:szCs w:val="17"/>
        </w:rPr>
        <w:t>%.</w:t>
      </w:r>
    </w:p>
    <w:p w:rsidR="00B80167" w:rsidRDefault="00B80167">
      <w:pPr>
        <w:rPr>
          <w:rFonts w:ascii="Arial" w:eastAsia="Calibri" w:hAnsi="Arial" w:cs="Arial"/>
          <w:spacing w:val="-1"/>
          <w:sz w:val="22"/>
          <w:szCs w:val="17"/>
        </w:rPr>
      </w:pPr>
    </w:p>
    <w:p w:rsidR="00B80167" w:rsidRDefault="00B80167">
      <w:pPr>
        <w:rPr>
          <w:rFonts w:ascii="Arial" w:eastAsia="Calibri" w:hAnsi="Arial" w:cs="Arial"/>
          <w:spacing w:val="-1"/>
          <w:sz w:val="22"/>
          <w:szCs w:val="17"/>
        </w:rPr>
      </w:pPr>
      <w:r>
        <w:rPr>
          <w:rFonts w:ascii="Arial" w:eastAsia="Calibri" w:hAnsi="Arial" w:cs="Arial"/>
          <w:spacing w:val="-1"/>
          <w:sz w:val="22"/>
          <w:szCs w:val="17"/>
        </w:rPr>
        <w:br w:type="page"/>
      </w:r>
    </w:p>
    <w:p w:rsidR="00B80167" w:rsidRDefault="00B80167" w:rsidP="00B80167">
      <w:pPr>
        <w:pStyle w:val="p02"/>
        <w:keepLines w:val="0"/>
        <w:widowControl w:val="0"/>
        <w:jc w:val="center"/>
        <w:rPr>
          <w:rFonts w:ascii="Arial" w:hAnsi="Arial" w:cs="Arial"/>
          <w:b/>
          <w:smallCaps/>
          <w:color w:val="auto"/>
          <w:sz w:val="22"/>
        </w:rPr>
      </w:pPr>
      <w:r w:rsidRPr="00156EF2">
        <w:rPr>
          <w:rFonts w:ascii="Arial" w:hAnsi="Arial" w:cs="Arial"/>
          <w:b/>
          <w:smallCaps/>
          <w:color w:val="auto"/>
          <w:sz w:val="22"/>
        </w:rPr>
        <w:lastRenderedPageBreak/>
        <w:t xml:space="preserve">Indicador </w:t>
      </w:r>
      <w:r>
        <w:rPr>
          <w:rFonts w:ascii="Arial" w:hAnsi="Arial" w:cs="Arial"/>
          <w:b/>
          <w:smallCaps/>
          <w:color w:val="auto"/>
          <w:sz w:val="22"/>
        </w:rPr>
        <w:t>Trimestral de la Actividad</w:t>
      </w:r>
      <w:r w:rsidRPr="009128DE">
        <w:rPr>
          <w:rFonts w:ascii="Arial" w:hAnsi="Arial" w:cs="Arial"/>
          <w:b/>
          <w:smallCaps/>
          <w:color w:val="auto"/>
          <w:sz w:val="22"/>
        </w:rPr>
        <w:t xml:space="preserve"> Económica Estatal (ITAEE)</w:t>
      </w:r>
      <w:r>
        <w:rPr>
          <w:rFonts w:ascii="Arial" w:hAnsi="Arial" w:cs="Arial"/>
          <w:b/>
          <w:smallCaps/>
          <w:color w:val="auto"/>
          <w:sz w:val="22"/>
        </w:rPr>
        <w:t xml:space="preserve"> </w:t>
      </w:r>
    </w:p>
    <w:p w:rsidR="00B80167" w:rsidRPr="008E0632" w:rsidRDefault="00B80167" w:rsidP="00B80167">
      <w:pPr>
        <w:pStyle w:val="p02"/>
        <w:keepLines w:val="0"/>
        <w:widowControl w:val="0"/>
        <w:spacing w:before="0"/>
        <w:jc w:val="center"/>
        <w:rPr>
          <w:rFonts w:ascii="Arial" w:hAnsi="Arial" w:cs="Arial"/>
          <w:b/>
          <w:smallCaps/>
          <w:color w:val="auto"/>
          <w:sz w:val="22"/>
          <w:szCs w:val="22"/>
        </w:rPr>
      </w:pPr>
      <w:r>
        <w:rPr>
          <w:rFonts w:ascii="Arial" w:hAnsi="Arial" w:cs="Arial"/>
          <w:b/>
          <w:smallCaps/>
          <w:color w:val="auto"/>
          <w:sz w:val="22"/>
        </w:rPr>
        <w:t xml:space="preserve">durante el tercer trimestre </w:t>
      </w:r>
      <w:r w:rsidRPr="006F056B">
        <w:rPr>
          <w:rFonts w:ascii="Arial" w:hAnsi="Arial" w:cs="Arial"/>
          <w:b/>
          <w:smallCaps/>
          <w:color w:val="auto"/>
          <w:sz w:val="22"/>
          <w:szCs w:val="22"/>
        </w:rPr>
        <w:t xml:space="preserve">de </w:t>
      </w:r>
      <w:r>
        <w:rPr>
          <w:rFonts w:ascii="Arial" w:hAnsi="Arial" w:cs="Arial"/>
          <w:b/>
          <w:smallCaps/>
          <w:color w:val="auto"/>
          <w:sz w:val="22"/>
          <w:szCs w:val="22"/>
        </w:rPr>
        <w:t>2019</w:t>
      </w:r>
    </w:p>
    <w:tbl>
      <w:tblPr>
        <w:tblStyle w:val="Tablaconcuadrcula"/>
        <w:tblW w:w="84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46"/>
        <w:gridCol w:w="4111"/>
      </w:tblGrid>
      <w:tr w:rsidR="00B80167" w:rsidTr="00FB5789">
        <w:trPr>
          <w:jc w:val="center"/>
        </w:trPr>
        <w:tc>
          <w:tcPr>
            <w:tcW w:w="4346" w:type="dxa"/>
            <w:shd w:val="clear" w:color="auto" w:fill="BDD6EE" w:themeFill="accent1" w:themeFillTint="66"/>
          </w:tcPr>
          <w:p w:rsidR="00B80167" w:rsidRPr="000A578B" w:rsidRDefault="00B80167" w:rsidP="00FB5789">
            <w:pPr>
              <w:pStyle w:val="p02"/>
              <w:keepLines w:val="0"/>
              <w:widowControl w:val="0"/>
              <w:spacing w:before="120"/>
              <w:ind w:left="127"/>
              <w:jc w:val="center"/>
              <w:rPr>
                <w:rFonts w:ascii="Arial" w:hAnsi="Arial" w:cs="Arial"/>
                <w:color w:val="auto"/>
                <w:sz w:val="18"/>
              </w:rPr>
            </w:pPr>
            <w:r w:rsidRPr="00156EF2">
              <w:rPr>
                <w:rFonts w:ascii="Arial" w:hAnsi="Arial" w:cs="Arial"/>
                <w:color w:val="auto"/>
                <w:sz w:val="18"/>
              </w:rPr>
              <w:t xml:space="preserve">Variación % real respecto al mismo </w:t>
            </w:r>
            <w:r>
              <w:rPr>
                <w:rFonts w:ascii="Arial" w:hAnsi="Arial" w:cs="Arial"/>
                <w:color w:val="auto"/>
                <w:sz w:val="18"/>
              </w:rPr>
              <w:t>trimestre</w:t>
            </w:r>
            <w:r w:rsidRPr="00156EF2">
              <w:rPr>
                <w:rFonts w:ascii="Arial" w:hAnsi="Arial" w:cs="Arial"/>
                <w:color w:val="auto"/>
                <w:sz w:val="18"/>
              </w:rPr>
              <w:t xml:space="preserve"> del año anterior</w:t>
            </w:r>
          </w:p>
        </w:tc>
        <w:tc>
          <w:tcPr>
            <w:tcW w:w="4111" w:type="dxa"/>
            <w:shd w:val="clear" w:color="auto" w:fill="BDD6EE" w:themeFill="accent1" w:themeFillTint="66"/>
          </w:tcPr>
          <w:p w:rsidR="00B80167" w:rsidRDefault="00B80167" w:rsidP="00FB5789">
            <w:pPr>
              <w:pStyle w:val="p0"/>
              <w:spacing w:before="120"/>
              <w:ind w:left="127"/>
              <w:jc w:val="center"/>
            </w:pPr>
            <w:r>
              <w:rPr>
                <w:rFonts w:cs="Arial"/>
                <w:sz w:val="18"/>
              </w:rPr>
              <w:t>Contribución a la variación</w:t>
            </w:r>
            <w:r w:rsidRPr="00156EF2">
              <w:rPr>
                <w:rFonts w:cs="Arial"/>
                <w:sz w:val="18"/>
              </w:rPr>
              <w:t xml:space="preserve"> </w:t>
            </w:r>
            <w:r>
              <w:rPr>
                <w:rFonts w:cs="Arial"/>
                <w:sz w:val="18"/>
              </w:rPr>
              <w:t xml:space="preserve">total </w:t>
            </w:r>
            <w:r w:rsidRPr="00156EF2">
              <w:rPr>
                <w:rFonts w:cs="Arial"/>
                <w:sz w:val="18"/>
              </w:rPr>
              <w:t xml:space="preserve">real </w:t>
            </w:r>
            <w:r>
              <w:rPr>
                <w:rFonts w:cs="Arial"/>
                <w:sz w:val="18"/>
              </w:rPr>
              <w:t>del ITAEE</w:t>
            </w:r>
            <w:r w:rsidRPr="00962D1C">
              <w:rPr>
                <w:rFonts w:cs="Arial"/>
                <w:sz w:val="18"/>
                <w:vertAlign w:val="superscript"/>
              </w:rPr>
              <w:t>1/</w:t>
            </w:r>
          </w:p>
        </w:tc>
      </w:tr>
      <w:tr w:rsidR="00B80167" w:rsidTr="00FB5789">
        <w:tblPrEx>
          <w:tblCellMar>
            <w:left w:w="70" w:type="dxa"/>
            <w:right w:w="70" w:type="dxa"/>
          </w:tblCellMar>
        </w:tblPrEx>
        <w:trPr>
          <w:jc w:val="center"/>
        </w:trPr>
        <w:tc>
          <w:tcPr>
            <w:tcW w:w="4346" w:type="dxa"/>
          </w:tcPr>
          <w:p w:rsidR="00B80167" w:rsidRDefault="00B80167" w:rsidP="00FB5789">
            <w:pPr>
              <w:pStyle w:val="p0"/>
              <w:spacing w:before="0"/>
              <w:ind w:left="-116"/>
              <w:jc w:val="center"/>
            </w:pPr>
            <w:r>
              <w:rPr>
                <w:noProof/>
                <w:lang w:val="es-MX" w:eastAsia="es-MX"/>
              </w:rPr>
              <w:drawing>
                <wp:inline distT="0" distB="0" distL="0" distR="0" wp14:anchorId="5391766B" wp14:editId="0E78D83E">
                  <wp:extent cx="2520000" cy="4500000"/>
                  <wp:effectExtent l="57150" t="38100" r="71120" b="91440"/>
                  <wp:docPr id="2" name="Gráfico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111" w:type="dxa"/>
          </w:tcPr>
          <w:p w:rsidR="00B80167" w:rsidRDefault="00B80167" w:rsidP="00FB5789">
            <w:pPr>
              <w:pStyle w:val="p0"/>
              <w:spacing w:before="0"/>
              <w:ind w:left="-67" w:right="-74"/>
              <w:jc w:val="center"/>
            </w:pPr>
            <w:r>
              <w:rPr>
                <w:noProof/>
                <w:lang w:val="es-MX" w:eastAsia="es-MX"/>
              </w:rPr>
              <w:drawing>
                <wp:inline distT="0" distB="0" distL="0" distR="0" wp14:anchorId="4D0C6F2E" wp14:editId="71121B70">
                  <wp:extent cx="2521585" cy="4500000"/>
                  <wp:effectExtent l="57150" t="38100" r="69215" b="91440"/>
                  <wp:docPr id="6" name="Gráfico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B80167" w:rsidRDefault="00B80167" w:rsidP="00B80167">
      <w:pPr>
        <w:pStyle w:val="Textoindependiente"/>
        <w:spacing w:before="0"/>
        <w:ind w:left="426" w:right="49" w:hanging="142"/>
        <w:rPr>
          <w:rFonts w:cs="Arial"/>
          <w:color w:val="000000"/>
          <w:sz w:val="16"/>
          <w:szCs w:val="16"/>
        </w:rPr>
      </w:pPr>
      <w:r w:rsidRPr="00E07532">
        <w:rPr>
          <w:rFonts w:cs="Arial"/>
          <w:color w:val="000000"/>
          <w:sz w:val="16"/>
          <w:szCs w:val="16"/>
          <w:vertAlign w:val="superscript"/>
        </w:rPr>
        <w:t>1/</w:t>
      </w:r>
      <w:r>
        <w:rPr>
          <w:rFonts w:cs="Arial"/>
          <w:color w:val="000000"/>
          <w:sz w:val="16"/>
          <w:szCs w:val="16"/>
        </w:rPr>
        <w:t xml:space="preserve"> Las contribuciones se obtienen ponderando las tasas de crecimiento con la participación que cada estado tiene </w:t>
      </w:r>
    </w:p>
    <w:p w:rsidR="00B80167" w:rsidRDefault="00B80167" w:rsidP="00B80167">
      <w:pPr>
        <w:pStyle w:val="Textoindependiente"/>
        <w:spacing w:before="0"/>
        <w:ind w:left="426" w:right="49"/>
        <w:rPr>
          <w:rFonts w:cs="Arial"/>
          <w:color w:val="000000"/>
          <w:sz w:val="16"/>
          <w:szCs w:val="16"/>
        </w:rPr>
      </w:pPr>
      <w:proofErr w:type="gramStart"/>
      <w:r>
        <w:rPr>
          <w:rFonts w:cs="Arial"/>
          <w:color w:val="000000"/>
          <w:sz w:val="16"/>
          <w:szCs w:val="16"/>
        </w:rPr>
        <w:t>en</w:t>
      </w:r>
      <w:proofErr w:type="gramEnd"/>
      <w:r>
        <w:rPr>
          <w:rFonts w:cs="Arial"/>
          <w:color w:val="000000"/>
          <w:sz w:val="16"/>
          <w:szCs w:val="16"/>
        </w:rPr>
        <w:t xml:space="preserve"> el indicador total.</w:t>
      </w:r>
    </w:p>
    <w:p w:rsidR="004C66A7" w:rsidRPr="005B546E" w:rsidRDefault="00B80167" w:rsidP="005B546E">
      <w:pPr>
        <w:pStyle w:val="Textoindependiente"/>
        <w:widowControl w:val="0"/>
        <w:spacing w:before="0"/>
        <w:ind w:left="142" w:right="51"/>
        <w:jc w:val="left"/>
        <w:rPr>
          <w:sz w:val="16"/>
          <w:szCs w:val="16"/>
        </w:rPr>
      </w:pPr>
      <w:r>
        <w:rPr>
          <w:rFonts w:cs="Arial"/>
          <w:color w:val="000000"/>
          <w:sz w:val="16"/>
          <w:szCs w:val="16"/>
        </w:rPr>
        <w:t xml:space="preserve">    Fuente: </w:t>
      </w:r>
      <w:r w:rsidRPr="00C102E2">
        <w:rPr>
          <w:rFonts w:cs="Arial"/>
          <w:color w:val="000000"/>
          <w:sz w:val="16"/>
          <w:szCs w:val="16"/>
        </w:rPr>
        <w:t>INEGI.</w:t>
      </w:r>
      <w:bookmarkStart w:id="0" w:name="_GoBack"/>
      <w:bookmarkEnd w:id="0"/>
    </w:p>
    <w:sectPr w:rsidR="004C66A7" w:rsidRPr="005B546E" w:rsidSect="00584F3B">
      <w:headerReference w:type="even" r:id="rId14"/>
      <w:headerReference w:type="default" r:id="rId15"/>
      <w:footerReference w:type="even" r:id="rId16"/>
      <w:footerReference w:type="default" r:id="rId17"/>
      <w:type w:val="continuous"/>
      <w:pgSz w:w="15840" w:h="12240" w:orient="landscape" w:code="1"/>
      <w:pgMar w:top="1701" w:right="1418" w:bottom="1134" w:left="1134" w:header="851" w:footer="567"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62E" w:rsidRDefault="0024362E">
      <w:r>
        <w:separator/>
      </w:r>
    </w:p>
  </w:endnote>
  <w:endnote w:type="continuationSeparator" w:id="0">
    <w:p w:rsidR="0024362E" w:rsidRDefault="0024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547" w:rsidRPr="00CF00D0" w:rsidRDefault="00AA7547"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72576" behindDoc="0" locked="0" layoutInCell="1" allowOverlap="1" wp14:anchorId="1223F082" wp14:editId="07CE5A23">
              <wp:simplePos x="0" y="0"/>
              <wp:positionH relativeFrom="margin">
                <wp:align>left</wp:align>
              </wp:positionH>
              <wp:positionV relativeFrom="bottomMargin">
                <wp:align>top</wp:align>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9B7562" id="Rectángulo 14" o:spid="_x0000_s1026" style="position:absolute;margin-left:0;margin-top:0;width:664.75pt;height:3.55pt;z-index:25167257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mc:Fallback>
      </mc:AlternateContent>
    </w:r>
    <w:r w:rsidR="002F7F05">
      <w:rPr>
        <w:rFonts w:ascii="Avenir LT Std 45 Book" w:hAnsi="Avenir LT Std 45 Book" w:cs="Arial"/>
        <w:color w:val="808080"/>
        <w:szCs w:val="20"/>
      </w:rPr>
      <w:t>PANORAMA ECONÓMICO</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5B546E">
      <w:rPr>
        <w:rFonts w:ascii="Avenir LT Std 45 Book" w:hAnsi="Avenir LT Std 45 Book" w:cs="Arial"/>
        <w:noProof/>
        <w:color w:val="808080"/>
        <w:szCs w:val="20"/>
      </w:rPr>
      <w:t>6</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5B546E">
      <w:rPr>
        <w:rFonts w:ascii="Avenir LT Std 45 Book" w:hAnsi="Avenir LT Std 45 Book" w:cs="Arial"/>
        <w:noProof/>
        <w:color w:val="808080"/>
        <w:szCs w:val="20"/>
      </w:rPr>
      <w:t>7</w:t>
    </w:r>
    <w:r w:rsidRPr="00CF00D0">
      <w:rPr>
        <w:rFonts w:ascii="Avenir LT Std 45 Book" w:hAnsi="Avenir LT Std 45 Book" w:cs="Arial"/>
        <w:color w:val="808080"/>
        <w:szCs w:val="20"/>
      </w:rPr>
      <w:fldChar w:fldCharType="end"/>
    </w:r>
  </w:p>
  <w:p w:rsidR="00AA7547" w:rsidRPr="00813029" w:rsidRDefault="00AA7547" w:rsidP="00813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547" w:rsidRPr="00954205" w:rsidRDefault="00AA7547" w:rsidP="00813029">
    <w:pPr>
      <w:pStyle w:val="Textoindependiente3"/>
      <w:tabs>
        <w:tab w:val="right" w:pos="13288"/>
      </w:tabs>
      <w:rPr>
        <w:rFonts w:asciiTheme="minorHAnsi" w:hAnsiTheme="minorHAnsi" w:cstheme="minorHAnsi"/>
        <w:color w:val="80808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62E" w:rsidRDefault="0024362E">
      <w:r>
        <w:separator/>
      </w:r>
    </w:p>
  </w:footnote>
  <w:footnote w:type="continuationSeparator" w:id="0">
    <w:p w:rsidR="0024362E" w:rsidRDefault="00243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547" w:rsidRPr="002809DB" w:rsidRDefault="00AA7547" w:rsidP="00627A77">
    <w:pPr>
      <w:rPr>
        <w:rFonts w:ascii="Soberana Sans Light" w:hAnsi="Soberana Sans Light"/>
        <w:b/>
        <w:sz w:val="20"/>
        <w:szCs w:val="20"/>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-332884</wp:posOffset>
          </wp:positionV>
          <wp:extent cx="1564005" cy="581660"/>
          <wp:effectExtent l="0" t="0" r="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52E85D3F" wp14:editId="374E2962">
              <wp:simplePos x="0" y="0"/>
              <wp:positionH relativeFrom="margin">
                <wp:align>right</wp:align>
              </wp:positionH>
              <wp:positionV relativeFrom="paragraph">
                <wp:posOffset>-97209</wp:posOffset>
              </wp:positionV>
              <wp:extent cx="1940560" cy="30854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547" w:rsidRPr="00CF00D0" w:rsidRDefault="00AA7547" w:rsidP="00997F4C">
                          <w:pPr>
                            <w:jc w:val="right"/>
                            <w:rPr>
                              <w:rFonts w:ascii="Avenir LT Std 45 Book" w:hAnsi="Avenir LT Std 45 Book" w:cs="Arial"/>
                              <w:b/>
                              <w:color w:val="808080"/>
                              <w:sz w:val="36"/>
                              <w:szCs w:val="20"/>
                            </w:rPr>
                          </w:pPr>
                          <w:r w:rsidRPr="00CF00D0">
                            <w:rPr>
                              <w:rFonts w:ascii="Avenir LT Std 45 Book" w:hAnsi="Avenir LT Std 45 Book" w:cs="Arial"/>
                              <w:b/>
                              <w:color w:val="808080"/>
                              <w:sz w:val="36"/>
                              <w:szCs w:val="20"/>
                            </w:rPr>
                            <w:t>201</w:t>
                          </w:r>
                          <w:r w:rsidR="00A15C35">
                            <w:rPr>
                              <w:rFonts w:ascii="Avenir LT Std 45 Book" w:hAnsi="Avenir LT Std 45 Book" w:cs="Arial"/>
                              <w:b/>
                              <w:color w:val="808080"/>
                              <w:sz w:val="36"/>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85D3F" id="_x0000_t202" coordsize="21600,21600" o:spt="202" path="m,l,21600r21600,l21600,xe">
              <v:stroke joinstyle="miter"/>
              <v:path gradientshapeok="t" o:connecttype="rect"/>
            </v:shapetype>
            <v:shape id="Cuadro de texto 5" o:spid="_x0000_s1026" type="#_x0000_t202" style="position:absolute;margin-left:101.6pt;margin-top:-7.65pt;width:152.8pt;height:24.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AA7547" w:rsidRPr="00CF00D0" w:rsidRDefault="00AA7547" w:rsidP="00997F4C">
                    <w:pPr>
                      <w:jc w:val="right"/>
                      <w:rPr>
                        <w:rFonts w:ascii="Avenir LT Std 45 Book" w:hAnsi="Avenir LT Std 45 Book" w:cs="Arial"/>
                        <w:b/>
                        <w:color w:val="808080"/>
                        <w:sz w:val="36"/>
                        <w:szCs w:val="20"/>
                      </w:rPr>
                    </w:pPr>
                    <w:r w:rsidRPr="00CF00D0">
                      <w:rPr>
                        <w:rFonts w:ascii="Avenir LT Std 45 Book" w:hAnsi="Avenir LT Std 45 Book" w:cs="Arial"/>
                        <w:b/>
                        <w:color w:val="808080"/>
                        <w:sz w:val="36"/>
                        <w:szCs w:val="20"/>
                      </w:rPr>
                      <w:t>201</w:t>
                    </w:r>
                    <w:r w:rsidR="00A15C35">
                      <w:rPr>
                        <w:rFonts w:ascii="Avenir LT Std 45 Book" w:hAnsi="Avenir LT Std 45 Book" w:cs="Arial"/>
                        <w:b/>
                        <w:color w:val="808080"/>
                        <w:sz w:val="36"/>
                        <w:szCs w:val="20"/>
                      </w:rPr>
                      <w:t>9</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8A2502B" wp14:editId="75EA596F">
              <wp:simplePos x="0" y="0"/>
              <wp:positionH relativeFrom="column">
                <wp:posOffset>6488523</wp:posOffset>
              </wp:positionH>
              <wp:positionV relativeFrom="paragraph">
                <wp:posOffset>-422579</wp:posOffset>
              </wp:positionV>
              <wp:extent cx="1940560" cy="398297"/>
              <wp:effectExtent l="0" t="0" r="2540" b="1905"/>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98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547" w:rsidRPr="00CF00D0" w:rsidRDefault="00AA7547"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AA7547" w:rsidRPr="00CF00D0" w:rsidRDefault="00AA7547"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2502B" id="_x0000_s1027" type="#_x0000_t202" style="position:absolute;margin-left:510.9pt;margin-top:-33.25pt;width:152.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AA7547" w:rsidRPr="00CF00D0" w:rsidRDefault="00AA7547"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AA7547" w:rsidRPr="00CF00D0" w:rsidRDefault="00AA7547"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v:textbox>
            </v:shape>
          </w:pict>
        </mc:Fallback>
      </mc:AlternateContent>
    </w:r>
    <w:r>
      <w:rPr>
        <w:rFonts w:ascii="Arial" w:hAnsi="Arial" w:cs="Arial"/>
        <w:b/>
        <w:caps/>
        <w:noProof/>
        <w:color w:val="808080"/>
        <w:sz w:val="20"/>
        <w:szCs w:val="20"/>
      </w:rPr>
      <mc:AlternateContent>
        <mc:Choice Requires="wps">
          <w:drawing>
            <wp:anchor distT="0" distB="0" distL="114300" distR="114300" simplePos="0" relativeHeight="251665408" behindDoc="0" locked="0" layoutInCell="1" allowOverlap="1" wp14:anchorId="3A75F308" wp14:editId="59F94F8C">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FBCF11" id="Rectángulo 9" o:spid="_x0000_s1026" style="position:absolute;margin-left:0;margin-top:21.15pt;width:664.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547" w:rsidRPr="00CF00D0" w:rsidRDefault="007B4672" w:rsidP="00823211">
    <w:pPr>
      <w:jc w:val="center"/>
      <w:rPr>
        <w:rFonts w:ascii="Avenir LT Std 45 Book" w:hAnsi="Avenir LT Std 45 Book"/>
        <w:b/>
        <w:color w:val="808080"/>
        <w:sz w:val="20"/>
        <w:szCs w:val="20"/>
      </w:rPr>
    </w:pPr>
    <w:r>
      <w:rPr>
        <w:rFonts w:ascii="Avenir LT Std 45 Book" w:hAnsi="Avenir LT Std 45 Book" w:cs="Arial"/>
        <w:b/>
        <w:caps/>
        <w:noProof/>
        <w:color w:val="808080"/>
        <w:sz w:val="20"/>
        <w:szCs w:val="20"/>
      </w:rPr>
      <w:t>ESTADO DE QUERÉTARO</w:t>
    </w:r>
    <w:r w:rsidR="00AA7547" w:rsidRPr="00CF00D0">
      <w:rPr>
        <w:rFonts w:ascii="Avenir LT Std 45 Book" w:hAnsi="Avenir LT Std 45 Book" w:cs="Arial"/>
        <w:b/>
        <w:caps/>
        <w:noProof/>
        <w:color w:val="808080"/>
        <w:sz w:val="20"/>
        <w:szCs w:val="20"/>
      </w:rPr>
      <mc:AlternateContent>
        <mc:Choice Requires="wps">
          <w:drawing>
            <wp:anchor distT="0" distB="0" distL="114300" distR="114300" simplePos="0" relativeHeight="251661312" behindDoc="0" locked="0" layoutInCell="1" allowOverlap="1" wp14:anchorId="4DD1E6F8" wp14:editId="0896A56B">
              <wp:simplePos x="0" y="0"/>
              <wp:positionH relativeFrom="margin">
                <wp:posOffset>-18863</wp:posOffset>
              </wp:positionH>
              <wp:positionV relativeFrom="paragraph">
                <wp:posOffset>205526</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7D2BC8" id="Rectángulo 5" o:spid="_x0000_s1026" style="position:absolute;margin-left:-1.5pt;margin-top:16.2pt;width:664.8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" fillcolor="#a5a5a5 [3206]" strokecolor="#525252 [1606]" strokeweight="1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08F1"/>
    <w:multiLevelType w:val="hybridMultilevel"/>
    <w:tmpl w:val="FEB86598"/>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DD7EEAFA">
      <w:start w:val="1"/>
      <w:numFmt w:val="bullet"/>
      <w:lvlText w:val="o"/>
      <w:lvlJc w:val="left"/>
      <w:pPr>
        <w:tabs>
          <w:tab w:val="num" w:pos="2747"/>
        </w:tabs>
        <w:ind w:left="2860" w:hanging="340"/>
      </w:pPr>
      <w:rPr>
        <w:rFonts w:ascii="Courier New" w:hAnsi="Courier New"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2">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3">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nsid w:val="09A2384C"/>
    <w:multiLevelType w:val="hybridMultilevel"/>
    <w:tmpl w:val="0CD0CF80"/>
    <w:lvl w:ilvl="0" w:tplc="0C0A0005">
      <w:start w:val="1"/>
      <w:numFmt w:val="bullet"/>
      <w:lvlText w:val=""/>
      <w:lvlJc w:val="left"/>
      <w:pPr>
        <w:tabs>
          <w:tab w:val="num" w:pos="3621"/>
        </w:tabs>
        <w:ind w:left="3621" w:hanging="360"/>
      </w:pPr>
      <w:rPr>
        <w:rFonts w:ascii="Wingdings" w:hAnsi="Wingdings" w:hint="default"/>
      </w:rPr>
    </w:lvl>
    <w:lvl w:ilvl="1" w:tplc="0C0A0003" w:tentative="1">
      <w:start w:val="1"/>
      <w:numFmt w:val="bullet"/>
      <w:lvlText w:val="o"/>
      <w:lvlJc w:val="left"/>
      <w:pPr>
        <w:tabs>
          <w:tab w:val="num" w:pos="2157"/>
        </w:tabs>
        <w:ind w:left="2157" w:hanging="360"/>
      </w:pPr>
      <w:rPr>
        <w:rFonts w:ascii="Courier New" w:hAnsi="Courier New" w:cs="Courier New" w:hint="default"/>
      </w:rPr>
    </w:lvl>
    <w:lvl w:ilvl="2" w:tplc="0C0A0005" w:tentative="1">
      <w:start w:val="1"/>
      <w:numFmt w:val="bullet"/>
      <w:lvlText w:val=""/>
      <w:lvlJc w:val="left"/>
      <w:pPr>
        <w:tabs>
          <w:tab w:val="num" w:pos="2877"/>
        </w:tabs>
        <w:ind w:left="2877" w:hanging="360"/>
      </w:pPr>
      <w:rPr>
        <w:rFonts w:ascii="Wingdings" w:hAnsi="Wingdings" w:hint="default"/>
      </w:rPr>
    </w:lvl>
    <w:lvl w:ilvl="3" w:tplc="0C0A0001" w:tentative="1">
      <w:start w:val="1"/>
      <w:numFmt w:val="bullet"/>
      <w:lvlText w:val=""/>
      <w:lvlJc w:val="left"/>
      <w:pPr>
        <w:tabs>
          <w:tab w:val="num" w:pos="3597"/>
        </w:tabs>
        <w:ind w:left="3597" w:hanging="360"/>
      </w:pPr>
      <w:rPr>
        <w:rFonts w:ascii="Symbol" w:hAnsi="Symbol" w:hint="default"/>
      </w:rPr>
    </w:lvl>
    <w:lvl w:ilvl="4" w:tplc="0C0A0003" w:tentative="1">
      <w:start w:val="1"/>
      <w:numFmt w:val="bullet"/>
      <w:lvlText w:val="o"/>
      <w:lvlJc w:val="left"/>
      <w:pPr>
        <w:tabs>
          <w:tab w:val="num" w:pos="4317"/>
        </w:tabs>
        <w:ind w:left="4317" w:hanging="360"/>
      </w:pPr>
      <w:rPr>
        <w:rFonts w:ascii="Courier New" w:hAnsi="Courier New" w:cs="Courier New" w:hint="default"/>
      </w:rPr>
    </w:lvl>
    <w:lvl w:ilvl="5" w:tplc="0C0A0005" w:tentative="1">
      <w:start w:val="1"/>
      <w:numFmt w:val="bullet"/>
      <w:lvlText w:val=""/>
      <w:lvlJc w:val="left"/>
      <w:pPr>
        <w:tabs>
          <w:tab w:val="num" w:pos="5037"/>
        </w:tabs>
        <w:ind w:left="5037" w:hanging="360"/>
      </w:pPr>
      <w:rPr>
        <w:rFonts w:ascii="Wingdings" w:hAnsi="Wingdings" w:hint="default"/>
      </w:rPr>
    </w:lvl>
    <w:lvl w:ilvl="6" w:tplc="0C0A0001" w:tentative="1">
      <w:start w:val="1"/>
      <w:numFmt w:val="bullet"/>
      <w:lvlText w:val=""/>
      <w:lvlJc w:val="left"/>
      <w:pPr>
        <w:tabs>
          <w:tab w:val="num" w:pos="5757"/>
        </w:tabs>
        <w:ind w:left="5757" w:hanging="360"/>
      </w:pPr>
      <w:rPr>
        <w:rFonts w:ascii="Symbol" w:hAnsi="Symbol" w:hint="default"/>
      </w:rPr>
    </w:lvl>
    <w:lvl w:ilvl="7" w:tplc="0C0A0003" w:tentative="1">
      <w:start w:val="1"/>
      <w:numFmt w:val="bullet"/>
      <w:lvlText w:val="o"/>
      <w:lvlJc w:val="left"/>
      <w:pPr>
        <w:tabs>
          <w:tab w:val="num" w:pos="6477"/>
        </w:tabs>
        <w:ind w:left="6477" w:hanging="360"/>
      </w:pPr>
      <w:rPr>
        <w:rFonts w:ascii="Courier New" w:hAnsi="Courier New" w:cs="Courier New" w:hint="default"/>
      </w:rPr>
    </w:lvl>
    <w:lvl w:ilvl="8" w:tplc="0C0A0005" w:tentative="1">
      <w:start w:val="1"/>
      <w:numFmt w:val="bullet"/>
      <w:lvlText w:val=""/>
      <w:lvlJc w:val="left"/>
      <w:pPr>
        <w:tabs>
          <w:tab w:val="num" w:pos="7197"/>
        </w:tabs>
        <w:ind w:left="7197" w:hanging="360"/>
      </w:pPr>
      <w:rPr>
        <w:rFonts w:ascii="Wingdings" w:hAnsi="Wingdings" w:hint="default"/>
      </w:rPr>
    </w:lvl>
  </w:abstractNum>
  <w:abstractNum w:abstractNumId="5">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AD6808"/>
    <w:multiLevelType w:val="hybridMultilevel"/>
    <w:tmpl w:val="F03A77D0"/>
    <w:lvl w:ilvl="0" w:tplc="86C47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1C68EE"/>
    <w:multiLevelType w:val="hybridMultilevel"/>
    <w:tmpl w:val="5C9E71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7BA5E7D"/>
    <w:multiLevelType w:val="hybridMultilevel"/>
    <w:tmpl w:val="5FB89B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7C17AE0"/>
    <w:multiLevelType w:val="hybridMultilevel"/>
    <w:tmpl w:val="113A1BF6"/>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nsid w:val="1B6C4044"/>
    <w:multiLevelType w:val="hybridMultilevel"/>
    <w:tmpl w:val="A30C7412"/>
    <w:lvl w:ilvl="0" w:tplc="0C0A000B">
      <w:start w:val="1"/>
      <w:numFmt w:val="bullet"/>
      <w:lvlText w:val=""/>
      <w:lvlJc w:val="left"/>
      <w:pPr>
        <w:tabs>
          <w:tab w:val="num" w:pos="6597"/>
        </w:tabs>
        <w:ind w:left="6597" w:hanging="360"/>
      </w:pPr>
      <w:rPr>
        <w:rFonts w:ascii="Wingdings" w:hAnsi="Wingdings" w:hint="default"/>
      </w:rPr>
    </w:lvl>
    <w:lvl w:ilvl="1" w:tplc="85C68472">
      <w:start w:val="1"/>
      <w:numFmt w:val="bullet"/>
      <w:lvlText w:val=""/>
      <w:lvlJc w:val="left"/>
      <w:pPr>
        <w:tabs>
          <w:tab w:val="num" w:pos="7317"/>
        </w:tabs>
        <w:ind w:left="7317" w:hanging="360"/>
      </w:pPr>
      <w:rPr>
        <w:rFonts w:ascii="Symbol" w:hAnsi="Symbol" w:hint="default"/>
        <w:color w:val="auto"/>
      </w:rPr>
    </w:lvl>
    <w:lvl w:ilvl="2" w:tplc="0C0A0005">
      <w:start w:val="1"/>
      <w:numFmt w:val="bullet"/>
      <w:lvlText w:val=""/>
      <w:lvlJc w:val="left"/>
      <w:pPr>
        <w:tabs>
          <w:tab w:val="num" w:pos="8037"/>
        </w:tabs>
        <w:ind w:left="8037" w:hanging="360"/>
      </w:pPr>
      <w:rPr>
        <w:rFonts w:ascii="Wingdings" w:hAnsi="Wingdings" w:hint="default"/>
      </w:rPr>
    </w:lvl>
    <w:lvl w:ilvl="3" w:tplc="0C0A0001" w:tentative="1">
      <w:start w:val="1"/>
      <w:numFmt w:val="bullet"/>
      <w:lvlText w:val=""/>
      <w:lvlJc w:val="left"/>
      <w:pPr>
        <w:tabs>
          <w:tab w:val="num" w:pos="8757"/>
        </w:tabs>
        <w:ind w:left="8757" w:hanging="360"/>
      </w:pPr>
      <w:rPr>
        <w:rFonts w:ascii="Symbol" w:hAnsi="Symbol" w:hint="default"/>
      </w:rPr>
    </w:lvl>
    <w:lvl w:ilvl="4" w:tplc="0C0A0003" w:tentative="1">
      <w:start w:val="1"/>
      <w:numFmt w:val="bullet"/>
      <w:lvlText w:val="o"/>
      <w:lvlJc w:val="left"/>
      <w:pPr>
        <w:tabs>
          <w:tab w:val="num" w:pos="9477"/>
        </w:tabs>
        <w:ind w:left="9477" w:hanging="360"/>
      </w:pPr>
      <w:rPr>
        <w:rFonts w:ascii="Courier New" w:hAnsi="Courier New" w:cs="Courier New" w:hint="default"/>
      </w:rPr>
    </w:lvl>
    <w:lvl w:ilvl="5" w:tplc="0C0A0005" w:tentative="1">
      <w:start w:val="1"/>
      <w:numFmt w:val="bullet"/>
      <w:lvlText w:val=""/>
      <w:lvlJc w:val="left"/>
      <w:pPr>
        <w:tabs>
          <w:tab w:val="num" w:pos="10197"/>
        </w:tabs>
        <w:ind w:left="10197" w:hanging="360"/>
      </w:pPr>
      <w:rPr>
        <w:rFonts w:ascii="Wingdings" w:hAnsi="Wingdings" w:hint="default"/>
      </w:rPr>
    </w:lvl>
    <w:lvl w:ilvl="6" w:tplc="0C0A0001" w:tentative="1">
      <w:start w:val="1"/>
      <w:numFmt w:val="bullet"/>
      <w:lvlText w:val=""/>
      <w:lvlJc w:val="left"/>
      <w:pPr>
        <w:tabs>
          <w:tab w:val="num" w:pos="10917"/>
        </w:tabs>
        <w:ind w:left="10917" w:hanging="360"/>
      </w:pPr>
      <w:rPr>
        <w:rFonts w:ascii="Symbol" w:hAnsi="Symbol" w:hint="default"/>
      </w:rPr>
    </w:lvl>
    <w:lvl w:ilvl="7" w:tplc="0C0A0003" w:tentative="1">
      <w:start w:val="1"/>
      <w:numFmt w:val="bullet"/>
      <w:lvlText w:val="o"/>
      <w:lvlJc w:val="left"/>
      <w:pPr>
        <w:tabs>
          <w:tab w:val="num" w:pos="11637"/>
        </w:tabs>
        <w:ind w:left="11637" w:hanging="360"/>
      </w:pPr>
      <w:rPr>
        <w:rFonts w:ascii="Courier New" w:hAnsi="Courier New" w:cs="Courier New" w:hint="default"/>
      </w:rPr>
    </w:lvl>
    <w:lvl w:ilvl="8" w:tplc="0C0A0005" w:tentative="1">
      <w:start w:val="1"/>
      <w:numFmt w:val="bullet"/>
      <w:lvlText w:val=""/>
      <w:lvlJc w:val="left"/>
      <w:pPr>
        <w:tabs>
          <w:tab w:val="num" w:pos="12357"/>
        </w:tabs>
        <w:ind w:left="12357" w:hanging="360"/>
      </w:pPr>
      <w:rPr>
        <w:rFonts w:ascii="Wingdings" w:hAnsi="Wingdings" w:hint="default"/>
      </w:rPr>
    </w:lvl>
  </w:abstractNum>
  <w:abstractNum w:abstractNumId="11">
    <w:nsid w:val="1BDF680D"/>
    <w:multiLevelType w:val="hybridMultilevel"/>
    <w:tmpl w:val="06E84E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76D2AD5"/>
    <w:multiLevelType w:val="hybridMultilevel"/>
    <w:tmpl w:val="40D8039A"/>
    <w:lvl w:ilvl="0" w:tplc="DE702562">
      <w:start w:val="1"/>
      <w:numFmt w:val="bullet"/>
      <w:lvlText w:val=""/>
      <w:lvlJc w:val="left"/>
      <w:pPr>
        <w:tabs>
          <w:tab w:val="num" w:pos="420"/>
        </w:tabs>
        <w:ind w:left="420" w:hanging="360"/>
      </w:pPr>
      <w:rPr>
        <w:rFonts w:ascii="Symbol" w:hAnsi="Symbol" w:hint="default"/>
        <w:color w:val="auto"/>
      </w:rPr>
    </w:lvl>
    <w:lvl w:ilvl="1" w:tplc="79261488">
      <w:start w:val="1"/>
      <w:numFmt w:val="bullet"/>
      <w:lvlText w:val=""/>
      <w:lvlJc w:val="left"/>
      <w:pPr>
        <w:tabs>
          <w:tab w:val="num" w:pos="748"/>
        </w:tabs>
        <w:ind w:left="1817" w:hanging="737"/>
      </w:pPr>
      <w:rPr>
        <w:rFonts w:ascii="Symbol" w:hAnsi="Symbol" w:hint="default"/>
        <w:color w:val="auto"/>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88816E1"/>
    <w:multiLevelType w:val="hybridMultilevel"/>
    <w:tmpl w:val="BE4C200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3860C6"/>
    <w:multiLevelType w:val="hybridMultilevel"/>
    <w:tmpl w:val="99526164"/>
    <w:lvl w:ilvl="0" w:tplc="CBA2848E">
      <w:start w:val="1"/>
      <w:numFmt w:val="bullet"/>
      <w:lvlText w:val=""/>
      <w:lvlJc w:val="left"/>
      <w:pPr>
        <w:tabs>
          <w:tab w:val="num" w:pos="527"/>
        </w:tabs>
        <w:ind w:left="1267" w:hanging="737"/>
      </w:pPr>
      <w:rPr>
        <w:rFonts w:ascii="Symbol" w:hAnsi="Symbol" w:hint="default"/>
        <w:color w:val="auto"/>
        <w:sz w:val="16"/>
        <w:szCs w:val="16"/>
      </w:rPr>
    </w:lvl>
    <w:lvl w:ilvl="1" w:tplc="79261488">
      <w:start w:val="1"/>
      <w:numFmt w:val="bullet"/>
      <w:lvlText w:val=""/>
      <w:lvlJc w:val="left"/>
      <w:pPr>
        <w:tabs>
          <w:tab w:val="num" w:pos="1278"/>
        </w:tabs>
        <w:ind w:left="2347" w:hanging="737"/>
      </w:pPr>
      <w:rPr>
        <w:rFonts w:ascii="Symbol" w:hAnsi="Symbol" w:hint="default"/>
        <w:color w:val="auto"/>
        <w:sz w:val="18"/>
        <w:szCs w:val="18"/>
      </w:rPr>
    </w:lvl>
    <w:lvl w:ilvl="2" w:tplc="0C0A0005" w:tentative="1">
      <w:start w:val="1"/>
      <w:numFmt w:val="bullet"/>
      <w:lvlText w:val=""/>
      <w:lvlJc w:val="left"/>
      <w:pPr>
        <w:tabs>
          <w:tab w:val="num" w:pos="2690"/>
        </w:tabs>
        <w:ind w:left="2690" w:hanging="360"/>
      </w:pPr>
      <w:rPr>
        <w:rFonts w:ascii="Wingdings" w:hAnsi="Wingdings" w:hint="default"/>
      </w:rPr>
    </w:lvl>
    <w:lvl w:ilvl="3" w:tplc="0C0A0001" w:tentative="1">
      <w:start w:val="1"/>
      <w:numFmt w:val="bullet"/>
      <w:lvlText w:val=""/>
      <w:lvlJc w:val="left"/>
      <w:pPr>
        <w:tabs>
          <w:tab w:val="num" w:pos="3410"/>
        </w:tabs>
        <w:ind w:left="3410" w:hanging="360"/>
      </w:pPr>
      <w:rPr>
        <w:rFonts w:ascii="Symbol" w:hAnsi="Symbol" w:hint="default"/>
      </w:rPr>
    </w:lvl>
    <w:lvl w:ilvl="4" w:tplc="0C0A0003" w:tentative="1">
      <w:start w:val="1"/>
      <w:numFmt w:val="bullet"/>
      <w:lvlText w:val="o"/>
      <w:lvlJc w:val="left"/>
      <w:pPr>
        <w:tabs>
          <w:tab w:val="num" w:pos="4130"/>
        </w:tabs>
        <w:ind w:left="4130" w:hanging="360"/>
      </w:pPr>
      <w:rPr>
        <w:rFonts w:ascii="Courier New" w:hAnsi="Courier New" w:cs="Courier New" w:hint="default"/>
      </w:rPr>
    </w:lvl>
    <w:lvl w:ilvl="5" w:tplc="0C0A0005" w:tentative="1">
      <w:start w:val="1"/>
      <w:numFmt w:val="bullet"/>
      <w:lvlText w:val=""/>
      <w:lvlJc w:val="left"/>
      <w:pPr>
        <w:tabs>
          <w:tab w:val="num" w:pos="4850"/>
        </w:tabs>
        <w:ind w:left="4850" w:hanging="360"/>
      </w:pPr>
      <w:rPr>
        <w:rFonts w:ascii="Wingdings" w:hAnsi="Wingdings" w:hint="default"/>
      </w:rPr>
    </w:lvl>
    <w:lvl w:ilvl="6" w:tplc="0C0A0001" w:tentative="1">
      <w:start w:val="1"/>
      <w:numFmt w:val="bullet"/>
      <w:lvlText w:val=""/>
      <w:lvlJc w:val="left"/>
      <w:pPr>
        <w:tabs>
          <w:tab w:val="num" w:pos="5570"/>
        </w:tabs>
        <w:ind w:left="5570" w:hanging="360"/>
      </w:pPr>
      <w:rPr>
        <w:rFonts w:ascii="Symbol" w:hAnsi="Symbol" w:hint="default"/>
      </w:rPr>
    </w:lvl>
    <w:lvl w:ilvl="7" w:tplc="0C0A0003" w:tentative="1">
      <w:start w:val="1"/>
      <w:numFmt w:val="bullet"/>
      <w:lvlText w:val="o"/>
      <w:lvlJc w:val="left"/>
      <w:pPr>
        <w:tabs>
          <w:tab w:val="num" w:pos="6290"/>
        </w:tabs>
        <w:ind w:left="6290" w:hanging="360"/>
      </w:pPr>
      <w:rPr>
        <w:rFonts w:ascii="Courier New" w:hAnsi="Courier New" w:cs="Courier New" w:hint="default"/>
      </w:rPr>
    </w:lvl>
    <w:lvl w:ilvl="8" w:tplc="0C0A0005" w:tentative="1">
      <w:start w:val="1"/>
      <w:numFmt w:val="bullet"/>
      <w:lvlText w:val=""/>
      <w:lvlJc w:val="left"/>
      <w:pPr>
        <w:tabs>
          <w:tab w:val="num" w:pos="7010"/>
        </w:tabs>
        <w:ind w:left="7010" w:hanging="360"/>
      </w:pPr>
      <w:rPr>
        <w:rFonts w:ascii="Wingdings" w:hAnsi="Wingdings" w:hint="default"/>
      </w:rPr>
    </w:lvl>
  </w:abstractNum>
  <w:abstractNum w:abstractNumId="15">
    <w:nsid w:val="30403220"/>
    <w:multiLevelType w:val="hybridMultilevel"/>
    <w:tmpl w:val="57FA780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nsid w:val="328A1498"/>
    <w:multiLevelType w:val="hybridMultilevel"/>
    <w:tmpl w:val="5FE409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61E4DD6"/>
    <w:multiLevelType w:val="hybridMultilevel"/>
    <w:tmpl w:val="B83EC5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21">
    <w:nsid w:val="472343FB"/>
    <w:multiLevelType w:val="hybridMultilevel"/>
    <w:tmpl w:val="58587B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3">
    <w:nsid w:val="4C1D27E6"/>
    <w:multiLevelType w:val="hybridMultilevel"/>
    <w:tmpl w:val="F9281D2E"/>
    <w:lvl w:ilvl="0" w:tplc="A4BEB05A">
      <w:start w:val="1"/>
      <w:numFmt w:val="bullet"/>
      <w:lvlText w:val=""/>
      <w:lvlJc w:val="left"/>
      <w:pPr>
        <w:tabs>
          <w:tab w:val="num" w:pos="7862"/>
        </w:tabs>
        <w:ind w:left="7825" w:hanging="737"/>
      </w:pPr>
      <w:rPr>
        <w:rFonts w:ascii="Symbol" w:hAnsi="Symbol"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cs="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cs="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cs="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4">
    <w:nsid w:val="4C6E66E7"/>
    <w:multiLevelType w:val="hybridMultilevel"/>
    <w:tmpl w:val="7256DAE4"/>
    <w:lvl w:ilvl="0" w:tplc="A4BEB05A">
      <w:start w:val="1"/>
      <w:numFmt w:val="bullet"/>
      <w:lvlText w:val=""/>
      <w:lvlJc w:val="left"/>
      <w:pPr>
        <w:tabs>
          <w:tab w:val="num" w:pos="170"/>
        </w:tabs>
        <w:ind w:left="170" w:hanging="170"/>
      </w:pPr>
      <w:rPr>
        <w:rFonts w:ascii="Symbol" w:hAnsi="Symbol" w:hint="default"/>
        <w:color w:val="auto"/>
      </w:rPr>
    </w:lvl>
    <w:lvl w:ilvl="1" w:tplc="EEEEAB0E"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5CA76DF"/>
    <w:multiLevelType w:val="hybridMultilevel"/>
    <w:tmpl w:val="30D002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8697663"/>
    <w:multiLevelType w:val="hybridMultilevel"/>
    <w:tmpl w:val="1068D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B6A4B04"/>
    <w:multiLevelType w:val="hybridMultilevel"/>
    <w:tmpl w:val="358454D8"/>
    <w:lvl w:ilvl="0" w:tplc="C7B63FAC">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EED76CC"/>
    <w:multiLevelType w:val="hybridMultilevel"/>
    <w:tmpl w:val="5DB67D52"/>
    <w:lvl w:ilvl="0" w:tplc="CC34A63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nsid w:val="5FFD38B2"/>
    <w:multiLevelType w:val="hybridMultilevel"/>
    <w:tmpl w:val="54F6D34C"/>
    <w:lvl w:ilvl="0" w:tplc="B87E6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1067A59"/>
    <w:multiLevelType w:val="hybridMultilevel"/>
    <w:tmpl w:val="EFBA4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1C4626A"/>
    <w:multiLevelType w:val="hybridMultilevel"/>
    <w:tmpl w:val="6A501F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3DE1206"/>
    <w:multiLevelType w:val="hybridMultilevel"/>
    <w:tmpl w:val="5D9A5B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4881353"/>
    <w:multiLevelType w:val="hybridMultilevel"/>
    <w:tmpl w:val="029A4E8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nsid w:val="6592583D"/>
    <w:multiLevelType w:val="hybridMultilevel"/>
    <w:tmpl w:val="8F4CF442"/>
    <w:lvl w:ilvl="0" w:tplc="A7C00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7ED454D"/>
    <w:multiLevelType w:val="hybridMultilevel"/>
    <w:tmpl w:val="5734C104"/>
    <w:lvl w:ilvl="0" w:tplc="05D896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9CE5EA7"/>
    <w:multiLevelType w:val="hybridMultilevel"/>
    <w:tmpl w:val="0E2050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9FF1DCE"/>
    <w:multiLevelType w:val="hybridMultilevel"/>
    <w:tmpl w:val="443C4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34D2A71"/>
    <w:multiLevelType w:val="hybridMultilevel"/>
    <w:tmpl w:val="576422EC"/>
    <w:lvl w:ilvl="0" w:tplc="5C72DC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40">
    <w:nsid w:val="787C7D05"/>
    <w:multiLevelType w:val="hybridMultilevel"/>
    <w:tmpl w:val="EE6C4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B036AF3"/>
    <w:multiLevelType w:val="hybridMultilevel"/>
    <w:tmpl w:val="551A241E"/>
    <w:lvl w:ilvl="0" w:tplc="F446D9B4">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9"/>
  </w:num>
  <w:num w:numId="2">
    <w:abstractNumId w:val="20"/>
  </w:num>
  <w:num w:numId="3">
    <w:abstractNumId w:val="1"/>
  </w:num>
  <w:num w:numId="4">
    <w:abstractNumId w:val="22"/>
  </w:num>
  <w:num w:numId="5">
    <w:abstractNumId w:val="18"/>
  </w:num>
  <w:num w:numId="6">
    <w:abstractNumId w:val="0"/>
  </w:num>
  <w:num w:numId="7">
    <w:abstractNumId w:val="28"/>
  </w:num>
  <w:num w:numId="8">
    <w:abstractNumId w:val="23"/>
  </w:num>
  <w:num w:numId="9">
    <w:abstractNumId w:val="2"/>
  </w:num>
  <w:num w:numId="10">
    <w:abstractNumId w:val="12"/>
  </w:num>
  <w:num w:numId="11">
    <w:abstractNumId w:val="24"/>
  </w:num>
  <w:num w:numId="12">
    <w:abstractNumId w:val="3"/>
  </w:num>
  <w:num w:numId="13">
    <w:abstractNumId w:val="10"/>
  </w:num>
  <w:num w:numId="14">
    <w:abstractNumId w:val="4"/>
  </w:num>
  <w:num w:numId="15">
    <w:abstractNumId w:val="14"/>
  </w:num>
  <w:num w:numId="16">
    <w:abstractNumId w:val="0"/>
  </w:num>
  <w:num w:numId="17">
    <w:abstractNumId w:val="4"/>
  </w:num>
  <w:num w:numId="18">
    <w:abstractNumId w:val="40"/>
  </w:num>
  <w:num w:numId="19">
    <w:abstractNumId w:val="35"/>
  </w:num>
  <w:num w:numId="20">
    <w:abstractNumId w:val="42"/>
  </w:num>
  <w:num w:numId="21">
    <w:abstractNumId w:val="37"/>
  </w:num>
  <w:num w:numId="22">
    <w:abstractNumId w:val="33"/>
  </w:num>
  <w:num w:numId="23">
    <w:abstractNumId w:val="15"/>
  </w:num>
  <w:num w:numId="24">
    <w:abstractNumId w:val="31"/>
  </w:num>
  <w:num w:numId="25">
    <w:abstractNumId w:val="9"/>
  </w:num>
  <w:num w:numId="26">
    <w:abstractNumId w:val="19"/>
  </w:num>
  <w:num w:numId="27">
    <w:abstractNumId w:val="29"/>
  </w:num>
  <w:num w:numId="28">
    <w:abstractNumId w:val="34"/>
  </w:num>
  <w:num w:numId="29">
    <w:abstractNumId w:val="38"/>
  </w:num>
  <w:num w:numId="30">
    <w:abstractNumId w:val="6"/>
  </w:num>
  <w:num w:numId="31">
    <w:abstractNumId w:val="5"/>
  </w:num>
  <w:num w:numId="32">
    <w:abstractNumId w:val="11"/>
  </w:num>
  <w:num w:numId="33">
    <w:abstractNumId w:val="27"/>
  </w:num>
  <w:num w:numId="34">
    <w:abstractNumId w:val="26"/>
  </w:num>
  <w:num w:numId="35">
    <w:abstractNumId w:val="17"/>
  </w:num>
  <w:num w:numId="36">
    <w:abstractNumId w:val="41"/>
  </w:num>
  <w:num w:numId="37">
    <w:abstractNumId w:val="16"/>
  </w:num>
  <w:num w:numId="38">
    <w:abstractNumId w:val="21"/>
  </w:num>
  <w:num w:numId="39">
    <w:abstractNumId w:val="8"/>
  </w:num>
  <w:num w:numId="40">
    <w:abstractNumId w:val="32"/>
  </w:num>
  <w:num w:numId="41">
    <w:abstractNumId w:val="13"/>
  </w:num>
  <w:num w:numId="42">
    <w:abstractNumId w:val="7"/>
  </w:num>
  <w:num w:numId="43">
    <w:abstractNumId w:val="25"/>
  </w:num>
  <w:num w:numId="44">
    <w:abstractNumId w:val="36"/>
  </w:num>
  <w:num w:numId="45">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A2"/>
    <w:rsid w:val="00000166"/>
    <w:rsid w:val="000008C2"/>
    <w:rsid w:val="00003379"/>
    <w:rsid w:val="0000365A"/>
    <w:rsid w:val="00005143"/>
    <w:rsid w:val="00005BA1"/>
    <w:rsid w:val="00005BBF"/>
    <w:rsid w:val="0000634E"/>
    <w:rsid w:val="000102CA"/>
    <w:rsid w:val="0001104C"/>
    <w:rsid w:val="000110F0"/>
    <w:rsid w:val="00011178"/>
    <w:rsid w:val="000119FE"/>
    <w:rsid w:val="00012DB2"/>
    <w:rsid w:val="00013D14"/>
    <w:rsid w:val="00016A7F"/>
    <w:rsid w:val="00017ACD"/>
    <w:rsid w:val="00026019"/>
    <w:rsid w:val="000331A9"/>
    <w:rsid w:val="00035026"/>
    <w:rsid w:val="000352FF"/>
    <w:rsid w:val="00040AA9"/>
    <w:rsid w:val="000412BA"/>
    <w:rsid w:val="00042E9B"/>
    <w:rsid w:val="0004490E"/>
    <w:rsid w:val="000556E4"/>
    <w:rsid w:val="00056302"/>
    <w:rsid w:val="0005667D"/>
    <w:rsid w:val="00060302"/>
    <w:rsid w:val="00061C12"/>
    <w:rsid w:val="00061CB6"/>
    <w:rsid w:val="00063DF1"/>
    <w:rsid w:val="00063EA6"/>
    <w:rsid w:val="0006463E"/>
    <w:rsid w:val="00064969"/>
    <w:rsid w:val="0006529B"/>
    <w:rsid w:val="0006650E"/>
    <w:rsid w:val="000674A8"/>
    <w:rsid w:val="000711BC"/>
    <w:rsid w:val="00071233"/>
    <w:rsid w:val="00072CB2"/>
    <w:rsid w:val="00072E8E"/>
    <w:rsid w:val="00072F8B"/>
    <w:rsid w:val="00073B3F"/>
    <w:rsid w:val="00074B74"/>
    <w:rsid w:val="00075E8D"/>
    <w:rsid w:val="0007770A"/>
    <w:rsid w:val="00077BF0"/>
    <w:rsid w:val="00080148"/>
    <w:rsid w:val="00080A73"/>
    <w:rsid w:val="00082348"/>
    <w:rsid w:val="0008362C"/>
    <w:rsid w:val="000840A2"/>
    <w:rsid w:val="00090DE7"/>
    <w:rsid w:val="00091AD4"/>
    <w:rsid w:val="00091D44"/>
    <w:rsid w:val="000927AA"/>
    <w:rsid w:val="00092DB3"/>
    <w:rsid w:val="00097DDA"/>
    <w:rsid w:val="000A04D9"/>
    <w:rsid w:val="000A0712"/>
    <w:rsid w:val="000A1CD9"/>
    <w:rsid w:val="000A204D"/>
    <w:rsid w:val="000A2512"/>
    <w:rsid w:val="000A39DC"/>
    <w:rsid w:val="000A66A2"/>
    <w:rsid w:val="000A6EDA"/>
    <w:rsid w:val="000B09F9"/>
    <w:rsid w:val="000B0AAA"/>
    <w:rsid w:val="000B15B5"/>
    <w:rsid w:val="000B2E80"/>
    <w:rsid w:val="000B5B5B"/>
    <w:rsid w:val="000B6CF1"/>
    <w:rsid w:val="000B78FA"/>
    <w:rsid w:val="000C00FF"/>
    <w:rsid w:val="000C0C81"/>
    <w:rsid w:val="000C472B"/>
    <w:rsid w:val="000C634E"/>
    <w:rsid w:val="000C65BA"/>
    <w:rsid w:val="000C69D3"/>
    <w:rsid w:val="000C6B30"/>
    <w:rsid w:val="000C785E"/>
    <w:rsid w:val="000D0770"/>
    <w:rsid w:val="000D1C10"/>
    <w:rsid w:val="000D2B07"/>
    <w:rsid w:val="000D2B10"/>
    <w:rsid w:val="000D4D42"/>
    <w:rsid w:val="000D6790"/>
    <w:rsid w:val="000D6A6C"/>
    <w:rsid w:val="000E08A8"/>
    <w:rsid w:val="000E0E94"/>
    <w:rsid w:val="000E15DF"/>
    <w:rsid w:val="000E2BF9"/>
    <w:rsid w:val="000E381F"/>
    <w:rsid w:val="000E4D88"/>
    <w:rsid w:val="000E546D"/>
    <w:rsid w:val="000F12DA"/>
    <w:rsid w:val="000F17A5"/>
    <w:rsid w:val="000F2A98"/>
    <w:rsid w:val="000F44F2"/>
    <w:rsid w:val="000F72A0"/>
    <w:rsid w:val="000F74C6"/>
    <w:rsid w:val="000F79B7"/>
    <w:rsid w:val="001000AE"/>
    <w:rsid w:val="00101978"/>
    <w:rsid w:val="00102FF2"/>
    <w:rsid w:val="001042D7"/>
    <w:rsid w:val="001045F8"/>
    <w:rsid w:val="0010523D"/>
    <w:rsid w:val="001059EB"/>
    <w:rsid w:val="001064F1"/>
    <w:rsid w:val="00114B14"/>
    <w:rsid w:val="00116F9D"/>
    <w:rsid w:val="00122060"/>
    <w:rsid w:val="00124B1D"/>
    <w:rsid w:val="00124E6A"/>
    <w:rsid w:val="00125540"/>
    <w:rsid w:val="001266F2"/>
    <w:rsid w:val="00126FF3"/>
    <w:rsid w:val="001336DB"/>
    <w:rsid w:val="00135637"/>
    <w:rsid w:val="00135733"/>
    <w:rsid w:val="0013607B"/>
    <w:rsid w:val="001364C8"/>
    <w:rsid w:val="00137D20"/>
    <w:rsid w:val="0014089D"/>
    <w:rsid w:val="0014285E"/>
    <w:rsid w:val="001439B4"/>
    <w:rsid w:val="001441B9"/>
    <w:rsid w:val="00146909"/>
    <w:rsid w:val="00146FDB"/>
    <w:rsid w:val="00147069"/>
    <w:rsid w:val="0014731B"/>
    <w:rsid w:val="001479F4"/>
    <w:rsid w:val="00150FB0"/>
    <w:rsid w:val="0015640F"/>
    <w:rsid w:val="001604B7"/>
    <w:rsid w:val="0016150C"/>
    <w:rsid w:val="0016265A"/>
    <w:rsid w:val="00163119"/>
    <w:rsid w:val="00163185"/>
    <w:rsid w:val="0016374B"/>
    <w:rsid w:val="00167DCA"/>
    <w:rsid w:val="001720CF"/>
    <w:rsid w:val="001728A2"/>
    <w:rsid w:val="001749D4"/>
    <w:rsid w:val="00175C25"/>
    <w:rsid w:val="001772F2"/>
    <w:rsid w:val="00180019"/>
    <w:rsid w:val="001800C2"/>
    <w:rsid w:val="00180430"/>
    <w:rsid w:val="001819E5"/>
    <w:rsid w:val="00182C0E"/>
    <w:rsid w:val="00182DD5"/>
    <w:rsid w:val="001838C3"/>
    <w:rsid w:val="00187595"/>
    <w:rsid w:val="0018790A"/>
    <w:rsid w:val="00192880"/>
    <w:rsid w:val="00192F45"/>
    <w:rsid w:val="00193FF0"/>
    <w:rsid w:val="00195546"/>
    <w:rsid w:val="00195F8A"/>
    <w:rsid w:val="0019606A"/>
    <w:rsid w:val="00196215"/>
    <w:rsid w:val="00196E7A"/>
    <w:rsid w:val="0019722F"/>
    <w:rsid w:val="001979E6"/>
    <w:rsid w:val="001A1EFE"/>
    <w:rsid w:val="001A2717"/>
    <w:rsid w:val="001A3EA9"/>
    <w:rsid w:val="001A54B2"/>
    <w:rsid w:val="001A7A7F"/>
    <w:rsid w:val="001B2EE0"/>
    <w:rsid w:val="001B3BC0"/>
    <w:rsid w:val="001B49BF"/>
    <w:rsid w:val="001B5FF6"/>
    <w:rsid w:val="001B6B15"/>
    <w:rsid w:val="001B7767"/>
    <w:rsid w:val="001C123D"/>
    <w:rsid w:val="001C1C28"/>
    <w:rsid w:val="001C2566"/>
    <w:rsid w:val="001C4C8E"/>
    <w:rsid w:val="001C6C60"/>
    <w:rsid w:val="001D0243"/>
    <w:rsid w:val="001D065E"/>
    <w:rsid w:val="001D12B4"/>
    <w:rsid w:val="001D24E0"/>
    <w:rsid w:val="001D283D"/>
    <w:rsid w:val="001D2A70"/>
    <w:rsid w:val="001D33F2"/>
    <w:rsid w:val="001D4900"/>
    <w:rsid w:val="001D49E1"/>
    <w:rsid w:val="001D4C7F"/>
    <w:rsid w:val="001D7872"/>
    <w:rsid w:val="001E05DF"/>
    <w:rsid w:val="001E756A"/>
    <w:rsid w:val="001E76A0"/>
    <w:rsid w:val="001E7A8F"/>
    <w:rsid w:val="001F1C10"/>
    <w:rsid w:val="001F1EBB"/>
    <w:rsid w:val="001F2B6F"/>
    <w:rsid w:val="001F326D"/>
    <w:rsid w:val="001F3FD7"/>
    <w:rsid w:val="001F4B48"/>
    <w:rsid w:val="001F4F56"/>
    <w:rsid w:val="00200A51"/>
    <w:rsid w:val="002015DB"/>
    <w:rsid w:val="00201E62"/>
    <w:rsid w:val="002020EC"/>
    <w:rsid w:val="00203925"/>
    <w:rsid w:val="00203F78"/>
    <w:rsid w:val="00205485"/>
    <w:rsid w:val="00206284"/>
    <w:rsid w:val="00207EF6"/>
    <w:rsid w:val="00211037"/>
    <w:rsid w:val="002129B5"/>
    <w:rsid w:val="00212AA9"/>
    <w:rsid w:val="002151B4"/>
    <w:rsid w:val="00215B81"/>
    <w:rsid w:val="00215D0E"/>
    <w:rsid w:val="00216680"/>
    <w:rsid w:val="00217211"/>
    <w:rsid w:val="0022073E"/>
    <w:rsid w:val="00220B39"/>
    <w:rsid w:val="00220CB2"/>
    <w:rsid w:val="00220F3A"/>
    <w:rsid w:val="00221280"/>
    <w:rsid w:val="002218F0"/>
    <w:rsid w:val="00222005"/>
    <w:rsid w:val="002231E1"/>
    <w:rsid w:val="00224C36"/>
    <w:rsid w:val="002251DE"/>
    <w:rsid w:val="00226B9F"/>
    <w:rsid w:val="00227DFB"/>
    <w:rsid w:val="00227DFE"/>
    <w:rsid w:val="00227F86"/>
    <w:rsid w:val="00230158"/>
    <w:rsid w:val="00232A23"/>
    <w:rsid w:val="002343EC"/>
    <w:rsid w:val="00236CF7"/>
    <w:rsid w:val="00240BB4"/>
    <w:rsid w:val="00241785"/>
    <w:rsid w:val="00241A7E"/>
    <w:rsid w:val="00242B10"/>
    <w:rsid w:val="00242C39"/>
    <w:rsid w:val="00242F62"/>
    <w:rsid w:val="0024362E"/>
    <w:rsid w:val="00244436"/>
    <w:rsid w:val="00250B7B"/>
    <w:rsid w:val="00250DEE"/>
    <w:rsid w:val="0025145F"/>
    <w:rsid w:val="002520CD"/>
    <w:rsid w:val="00252AD1"/>
    <w:rsid w:val="00252F2E"/>
    <w:rsid w:val="00253096"/>
    <w:rsid w:val="002533F7"/>
    <w:rsid w:val="00253F02"/>
    <w:rsid w:val="00254118"/>
    <w:rsid w:val="002543BF"/>
    <w:rsid w:val="00255338"/>
    <w:rsid w:val="002561E9"/>
    <w:rsid w:val="00256C7C"/>
    <w:rsid w:val="00260BA7"/>
    <w:rsid w:val="00263BCB"/>
    <w:rsid w:val="0026424A"/>
    <w:rsid w:val="00264C81"/>
    <w:rsid w:val="0027121D"/>
    <w:rsid w:val="002739FA"/>
    <w:rsid w:val="00273FF7"/>
    <w:rsid w:val="002746C5"/>
    <w:rsid w:val="002746E2"/>
    <w:rsid w:val="00275FC6"/>
    <w:rsid w:val="002809DB"/>
    <w:rsid w:val="00281841"/>
    <w:rsid w:val="0028373B"/>
    <w:rsid w:val="00286927"/>
    <w:rsid w:val="00290A1E"/>
    <w:rsid w:val="002914B5"/>
    <w:rsid w:val="002917C4"/>
    <w:rsid w:val="002917EF"/>
    <w:rsid w:val="00292137"/>
    <w:rsid w:val="00295733"/>
    <w:rsid w:val="00295E86"/>
    <w:rsid w:val="002A0DEA"/>
    <w:rsid w:val="002A244F"/>
    <w:rsid w:val="002A2B9C"/>
    <w:rsid w:val="002A4488"/>
    <w:rsid w:val="002A4762"/>
    <w:rsid w:val="002B0822"/>
    <w:rsid w:val="002B35CF"/>
    <w:rsid w:val="002B581C"/>
    <w:rsid w:val="002B5A44"/>
    <w:rsid w:val="002B63DD"/>
    <w:rsid w:val="002B69BD"/>
    <w:rsid w:val="002B6D11"/>
    <w:rsid w:val="002B7EEF"/>
    <w:rsid w:val="002B7F42"/>
    <w:rsid w:val="002C05A9"/>
    <w:rsid w:val="002C11BF"/>
    <w:rsid w:val="002C326D"/>
    <w:rsid w:val="002C6A1C"/>
    <w:rsid w:val="002C6F14"/>
    <w:rsid w:val="002D01C0"/>
    <w:rsid w:val="002D073F"/>
    <w:rsid w:val="002D09F5"/>
    <w:rsid w:val="002D0D0E"/>
    <w:rsid w:val="002D175D"/>
    <w:rsid w:val="002D2D06"/>
    <w:rsid w:val="002D4E67"/>
    <w:rsid w:val="002D539F"/>
    <w:rsid w:val="002D70DA"/>
    <w:rsid w:val="002E350B"/>
    <w:rsid w:val="002E3F8E"/>
    <w:rsid w:val="002E5A45"/>
    <w:rsid w:val="002E6460"/>
    <w:rsid w:val="002E7C39"/>
    <w:rsid w:val="002F0F48"/>
    <w:rsid w:val="002F1704"/>
    <w:rsid w:val="002F4627"/>
    <w:rsid w:val="002F6A33"/>
    <w:rsid w:val="002F6FB1"/>
    <w:rsid w:val="002F7886"/>
    <w:rsid w:val="002F7E0B"/>
    <w:rsid w:val="002F7F05"/>
    <w:rsid w:val="00300909"/>
    <w:rsid w:val="00302481"/>
    <w:rsid w:val="00302600"/>
    <w:rsid w:val="00302E16"/>
    <w:rsid w:val="00302E24"/>
    <w:rsid w:val="003033A3"/>
    <w:rsid w:val="003035C8"/>
    <w:rsid w:val="003040EB"/>
    <w:rsid w:val="00305D43"/>
    <w:rsid w:val="00305F95"/>
    <w:rsid w:val="00306590"/>
    <w:rsid w:val="00307A9B"/>
    <w:rsid w:val="00315A97"/>
    <w:rsid w:val="003163A2"/>
    <w:rsid w:val="0031662D"/>
    <w:rsid w:val="003201EB"/>
    <w:rsid w:val="00320778"/>
    <w:rsid w:val="00322B3C"/>
    <w:rsid w:val="00322E1D"/>
    <w:rsid w:val="00323879"/>
    <w:rsid w:val="00326C76"/>
    <w:rsid w:val="00326F1D"/>
    <w:rsid w:val="00327755"/>
    <w:rsid w:val="0033017E"/>
    <w:rsid w:val="00331133"/>
    <w:rsid w:val="00331243"/>
    <w:rsid w:val="0033302B"/>
    <w:rsid w:val="00335483"/>
    <w:rsid w:val="00336A72"/>
    <w:rsid w:val="00337FDA"/>
    <w:rsid w:val="003406CE"/>
    <w:rsid w:val="00340812"/>
    <w:rsid w:val="00340D63"/>
    <w:rsid w:val="00342D65"/>
    <w:rsid w:val="00342EAC"/>
    <w:rsid w:val="00344433"/>
    <w:rsid w:val="003448EC"/>
    <w:rsid w:val="00346605"/>
    <w:rsid w:val="00346AA5"/>
    <w:rsid w:val="003511F5"/>
    <w:rsid w:val="00351CE0"/>
    <w:rsid w:val="00352675"/>
    <w:rsid w:val="00353E1D"/>
    <w:rsid w:val="003556AE"/>
    <w:rsid w:val="003560BA"/>
    <w:rsid w:val="00357944"/>
    <w:rsid w:val="00357BAC"/>
    <w:rsid w:val="00357BCC"/>
    <w:rsid w:val="0036144D"/>
    <w:rsid w:val="00361475"/>
    <w:rsid w:val="003617C9"/>
    <w:rsid w:val="00363026"/>
    <w:rsid w:val="003645A3"/>
    <w:rsid w:val="00365269"/>
    <w:rsid w:val="003652FF"/>
    <w:rsid w:val="003667D6"/>
    <w:rsid w:val="00367360"/>
    <w:rsid w:val="00370CEA"/>
    <w:rsid w:val="00371987"/>
    <w:rsid w:val="00372E51"/>
    <w:rsid w:val="00375B3F"/>
    <w:rsid w:val="0037658D"/>
    <w:rsid w:val="00376EDA"/>
    <w:rsid w:val="0037720F"/>
    <w:rsid w:val="0037725B"/>
    <w:rsid w:val="003779D7"/>
    <w:rsid w:val="0038506C"/>
    <w:rsid w:val="00385B39"/>
    <w:rsid w:val="00386AC3"/>
    <w:rsid w:val="0039020E"/>
    <w:rsid w:val="00392134"/>
    <w:rsid w:val="003949C9"/>
    <w:rsid w:val="0039655C"/>
    <w:rsid w:val="00397430"/>
    <w:rsid w:val="003A00D3"/>
    <w:rsid w:val="003A0374"/>
    <w:rsid w:val="003A2790"/>
    <w:rsid w:val="003A517C"/>
    <w:rsid w:val="003A7E4D"/>
    <w:rsid w:val="003B1DD2"/>
    <w:rsid w:val="003B3FFD"/>
    <w:rsid w:val="003B4352"/>
    <w:rsid w:val="003B5C50"/>
    <w:rsid w:val="003B5D25"/>
    <w:rsid w:val="003B7496"/>
    <w:rsid w:val="003B75E0"/>
    <w:rsid w:val="003C1765"/>
    <w:rsid w:val="003C2087"/>
    <w:rsid w:val="003C22D2"/>
    <w:rsid w:val="003C24B5"/>
    <w:rsid w:val="003C4CBC"/>
    <w:rsid w:val="003C5A2A"/>
    <w:rsid w:val="003C6DD2"/>
    <w:rsid w:val="003D1533"/>
    <w:rsid w:val="003D1C03"/>
    <w:rsid w:val="003D1DB6"/>
    <w:rsid w:val="003D26C8"/>
    <w:rsid w:val="003D549A"/>
    <w:rsid w:val="003D60CA"/>
    <w:rsid w:val="003D625E"/>
    <w:rsid w:val="003D7CFB"/>
    <w:rsid w:val="003E1E70"/>
    <w:rsid w:val="003E212F"/>
    <w:rsid w:val="003E26AC"/>
    <w:rsid w:val="003E3745"/>
    <w:rsid w:val="003E3F5F"/>
    <w:rsid w:val="003E454E"/>
    <w:rsid w:val="003E590B"/>
    <w:rsid w:val="003E5C1A"/>
    <w:rsid w:val="003E66DA"/>
    <w:rsid w:val="003E68F1"/>
    <w:rsid w:val="003E7073"/>
    <w:rsid w:val="003E7A1F"/>
    <w:rsid w:val="003F0D0E"/>
    <w:rsid w:val="003F1AFF"/>
    <w:rsid w:val="003F4571"/>
    <w:rsid w:val="004006C7"/>
    <w:rsid w:val="00401ABA"/>
    <w:rsid w:val="004062B0"/>
    <w:rsid w:val="00406E8D"/>
    <w:rsid w:val="00407227"/>
    <w:rsid w:val="00410514"/>
    <w:rsid w:val="004113F9"/>
    <w:rsid w:val="00411CAA"/>
    <w:rsid w:val="0041449D"/>
    <w:rsid w:val="00414750"/>
    <w:rsid w:val="00414C14"/>
    <w:rsid w:val="004151FB"/>
    <w:rsid w:val="00415E93"/>
    <w:rsid w:val="004205E8"/>
    <w:rsid w:val="004240FB"/>
    <w:rsid w:val="0042445F"/>
    <w:rsid w:val="00424A9E"/>
    <w:rsid w:val="00426A69"/>
    <w:rsid w:val="00431B24"/>
    <w:rsid w:val="00431F2D"/>
    <w:rsid w:val="004328DE"/>
    <w:rsid w:val="0043296A"/>
    <w:rsid w:val="0043333B"/>
    <w:rsid w:val="00435188"/>
    <w:rsid w:val="004355B4"/>
    <w:rsid w:val="00435863"/>
    <w:rsid w:val="00436CA6"/>
    <w:rsid w:val="00441C6F"/>
    <w:rsid w:val="0044221B"/>
    <w:rsid w:val="004440E5"/>
    <w:rsid w:val="00444534"/>
    <w:rsid w:val="00444ED5"/>
    <w:rsid w:val="004456AB"/>
    <w:rsid w:val="00446413"/>
    <w:rsid w:val="004469F9"/>
    <w:rsid w:val="0045040C"/>
    <w:rsid w:val="004507B9"/>
    <w:rsid w:val="004517F3"/>
    <w:rsid w:val="00451ED0"/>
    <w:rsid w:val="004526A2"/>
    <w:rsid w:val="0045339E"/>
    <w:rsid w:val="004542EA"/>
    <w:rsid w:val="0045688B"/>
    <w:rsid w:val="004575DB"/>
    <w:rsid w:val="004578DC"/>
    <w:rsid w:val="004600B2"/>
    <w:rsid w:val="00462BB9"/>
    <w:rsid w:val="0046346C"/>
    <w:rsid w:val="00463616"/>
    <w:rsid w:val="00463882"/>
    <w:rsid w:val="00464499"/>
    <w:rsid w:val="00466290"/>
    <w:rsid w:val="004666AD"/>
    <w:rsid w:val="004671AB"/>
    <w:rsid w:val="004767C3"/>
    <w:rsid w:val="00484DCB"/>
    <w:rsid w:val="00485520"/>
    <w:rsid w:val="00487A33"/>
    <w:rsid w:val="0049432F"/>
    <w:rsid w:val="00494785"/>
    <w:rsid w:val="00495D64"/>
    <w:rsid w:val="0049681E"/>
    <w:rsid w:val="00497797"/>
    <w:rsid w:val="004A0C97"/>
    <w:rsid w:val="004A1368"/>
    <w:rsid w:val="004A1C34"/>
    <w:rsid w:val="004A5DC2"/>
    <w:rsid w:val="004A6232"/>
    <w:rsid w:val="004A72F1"/>
    <w:rsid w:val="004B147A"/>
    <w:rsid w:val="004B253E"/>
    <w:rsid w:val="004B3EE6"/>
    <w:rsid w:val="004B59B5"/>
    <w:rsid w:val="004B5C83"/>
    <w:rsid w:val="004C1719"/>
    <w:rsid w:val="004C1BA7"/>
    <w:rsid w:val="004C2A7A"/>
    <w:rsid w:val="004C2FFF"/>
    <w:rsid w:val="004C339D"/>
    <w:rsid w:val="004C4FF6"/>
    <w:rsid w:val="004C60BE"/>
    <w:rsid w:val="004C66A7"/>
    <w:rsid w:val="004C68EB"/>
    <w:rsid w:val="004C6B99"/>
    <w:rsid w:val="004C6E9E"/>
    <w:rsid w:val="004D021F"/>
    <w:rsid w:val="004D054E"/>
    <w:rsid w:val="004D2269"/>
    <w:rsid w:val="004D385F"/>
    <w:rsid w:val="004D4D3B"/>
    <w:rsid w:val="004D5C5B"/>
    <w:rsid w:val="004D5CB7"/>
    <w:rsid w:val="004D6155"/>
    <w:rsid w:val="004D6633"/>
    <w:rsid w:val="004E096E"/>
    <w:rsid w:val="004E09B5"/>
    <w:rsid w:val="004E2C58"/>
    <w:rsid w:val="004E30E7"/>
    <w:rsid w:val="004E3AC7"/>
    <w:rsid w:val="004E3C9D"/>
    <w:rsid w:val="004E417F"/>
    <w:rsid w:val="004E4265"/>
    <w:rsid w:val="004E50FA"/>
    <w:rsid w:val="004E6838"/>
    <w:rsid w:val="004F1C06"/>
    <w:rsid w:val="004F29E6"/>
    <w:rsid w:val="004F2F74"/>
    <w:rsid w:val="004F43A7"/>
    <w:rsid w:val="004F4747"/>
    <w:rsid w:val="004F4D35"/>
    <w:rsid w:val="004F6EA1"/>
    <w:rsid w:val="00500D62"/>
    <w:rsid w:val="00502074"/>
    <w:rsid w:val="005020F5"/>
    <w:rsid w:val="00502A17"/>
    <w:rsid w:val="00503380"/>
    <w:rsid w:val="00504127"/>
    <w:rsid w:val="00507EAD"/>
    <w:rsid w:val="00510147"/>
    <w:rsid w:val="00510EE0"/>
    <w:rsid w:val="00510FC1"/>
    <w:rsid w:val="00511219"/>
    <w:rsid w:val="0051122A"/>
    <w:rsid w:val="00511394"/>
    <w:rsid w:val="00512DFD"/>
    <w:rsid w:val="005207C4"/>
    <w:rsid w:val="00521453"/>
    <w:rsid w:val="00525356"/>
    <w:rsid w:val="0052576B"/>
    <w:rsid w:val="00525A11"/>
    <w:rsid w:val="005265BA"/>
    <w:rsid w:val="00526741"/>
    <w:rsid w:val="00530766"/>
    <w:rsid w:val="00534D22"/>
    <w:rsid w:val="00535CCB"/>
    <w:rsid w:val="005366D2"/>
    <w:rsid w:val="00536835"/>
    <w:rsid w:val="0053768A"/>
    <w:rsid w:val="005458B3"/>
    <w:rsid w:val="00546943"/>
    <w:rsid w:val="00546A5E"/>
    <w:rsid w:val="005501FC"/>
    <w:rsid w:val="00553895"/>
    <w:rsid w:val="00553B60"/>
    <w:rsid w:val="0055682D"/>
    <w:rsid w:val="00557684"/>
    <w:rsid w:val="00557E69"/>
    <w:rsid w:val="0056133C"/>
    <w:rsid w:val="00561524"/>
    <w:rsid w:val="00561C53"/>
    <w:rsid w:val="0056200F"/>
    <w:rsid w:val="00562288"/>
    <w:rsid w:val="00563C54"/>
    <w:rsid w:val="0056516C"/>
    <w:rsid w:val="00566DBA"/>
    <w:rsid w:val="00567262"/>
    <w:rsid w:val="00574885"/>
    <w:rsid w:val="0057495B"/>
    <w:rsid w:val="00575E9B"/>
    <w:rsid w:val="005762C1"/>
    <w:rsid w:val="00577C22"/>
    <w:rsid w:val="00577F5D"/>
    <w:rsid w:val="00580C05"/>
    <w:rsid w:val="00582CFB"/>
    <w:rsid w:val="00584F3B"/>
    <w:rsid w:val="00585030"/>
    <w:rsid w:val="0058548B"/>
    <w:rsid w:val="00585A8E"/>
    <w:rsid w:val="00585D03"/>
    <w:rsid w:val="00586736"/>
    <w:rsid w:val="005877F3"/>
    <w:rsid w:val="00590576"/>
    <w:rsid w:val="00591C41"/>
    <w:rsid w:val="00591C96"/>
    <w:rsid w:val="0059234B"/>
    <w:rsid w:val="005925BD"/>
    <w:rsid w:val="005932F7"/>
    <w:rsid w:val="00594288"/>
    <w:rsid w:val="00594C8E"/>
    <w:rsid w:val="00595CC5"/>
    <w:rsid w:val="005A0055"/>
    <w:rsid w:val="005A0224"/>
    <w:rsid w:val="005A0B85"/>
    <w:rsid w:val="005A1C51"/>
    <w:rsid w:val="005A359D"/>
    <w:rsid w:val="005A46D1"/>
    <w:rsid w:val="005A4FA0"/>
    <w:rsid w:val="005A68FB"/>
    <w:rsid w:val="005A775E"/>
    <w:rsid w:val="005A7F0F"/>
    <w:rsid w:val="005B101A"/>
    <w:rsid w:val="005B1107"/>
    <w:rsid w:val="005B1AC4"/>
    <w:rsid w:val="005B218B"/>
    <w:rsid w:val="005B3317"/>
    <w:rsid w:val="005B4512"/>
    <w:rsid w:val="005B4559"/>
    <w:rsid w:val="005B4B5E"/>
    <w:rsid w:val="005B546E"/>
    <w:rsid w:val="005B6BFE"/>
    <w:rsid w:val="005B7161"/>
    <w:rsid w:val="005B7481"/>
    <w:rsid w:val="005C3596"/>
    <w:rsid w:val="005C35ED"/>
    <w:rsid w:val="005C3827"/>
    <w:rsid w:val="005C5B60"/>
    <w:rsid w:val="005C73AA"/>
    <w:rsid w:val="005C7438"/>
    <w:rsid w:val="005D1668"/>
    <w:rsid w:val="005D2A12"/>
    <w:rsid w:val="005D523C"/>
    <w:rsid w:val="005D6754"/>
    <w:rsid w:val="005D78A0"/>
    <w:rsid w:val="005E2891"/>
    <w:rsid w:val="005E54BD"/>
    <w:rsid w:val="005E62A0"/>
    <w:rsid w:val="005E62CF"/>
    <w:rsid w:val="005E633D"/>
    <w:rsid w:val="005E767D"/>
    <w:rsid w:val="005F1655"/>
    <w:rsid w:val="005F16E5"/>
    <w:rsid w:val="005F1A84"/>
    <w:rsid w:val="005F1B6C"/>
    <w:rsid w:val="005F371E"/>
    <w:rsid w:val="005F6A84"/>
    <w:rsid w:val="00601445"/>
    <w:rsid w:val="00601AE6"/>
    <w:rsid w:val="006021DE"/>
    <w:rsid w:val="006022B0"/>
    <w:rsid w:val="00602A0F"/>
    <w:rsid w:val="00602A2C"/>
    <w:rsid w:val="00602DCF"/>
    <w:rsid w:val="00604EC9"/>
    <w:rsid w:val="00610341"/>
    <w:rsid w:val="0061242D"/>
    <w:rsid w:val="0061259E"/>
    <w:rsid w:val="00612BED"/>
    <w:rsid w:val="006133CA"/>
    <w:rsid w:val="006139C6"/>
    <w:rsid w:val="00614582"/>
    <w:rsid w:val="006149E7"/>
    <w:rsid w:val="00614C81"/>
    <w:rsid w:val="00616733"/>
    <w:rsid w:val="00616A1C"/>
    <w:rsid w:val="00617048"/>
    <w:rsid w:val="006210E5"/>
    <w:rsid w:val="006233B9"/>
    <w:rsid w:val="00623736"/>
    <w:rsid w:val="006248C4"/>
    <w:rsid w:val="006252D7"/>
    <w:rsid w:val="006257BF"/>
    <w:rsid w:val="00625B1D"/>
    <w:rsid w:val="00626039"/>
    <w:rsid w:val="00626062"/>
    <w:rsid w:val="00627A77"/>
    <w:rsid w:val="006326E0"/>
    <w:rsid w:val="006335BE"/>
    <w:rsid w:val="006336C1"/>
    <w:rsid w:val="00633BB0"/>
    <w:rsid w:val="00636810"/>
    <w:rsid w:val="00641064"/>
    <w:rsid w:val="006412C4"/>
    <w:rsid w:val="00644D08"/>
    <w:rsid w:val="00646E01"/>
    <w:rsid w:val="00650F0D"/>
    <w:rsid w:val="006510EA"/>
    <w:rsid w:val="00651181"/>
    <w:rsid w:val="006514D6"/>
    <w:rsid w:val="00652753"/>
    <w:rsid w:val="006529CA"/>
    <w:rsid w:val="00653271"/>
    <w:rsid w:val="00653309"/>
    <w:rsid w:val="0065332D"/>
    <w:rsid w:val="00657A7B"/>
    <w:rsid w:val="00657B65"/>
    <w:rsid w:val="00657DC9"/>
    <w:rsid w:val="00657EB4"/>
    <w:rsid w:val="00661598"/>
    <w:rsid w:val="00661F4A"/>
    <w:rsid w:val="006642DB"/>
    <w:rsid w:val="00664615"/>
    <w:rsid w:val="006651AA"/>
    <w:rsid w:val="00665D1C"/>
    <w:rsid w:val="00666857"/>
    <w:rsid w:val="00674D34"/>
    <w:rsid w:val="006758C9"/>
    <w:rsid w:val="00675CA5"/>
    <w:rsid w:val="00677D8C"/>
    <w:rsid w:val="0068040B"/>
    <w:rsid w:val="00681FD8"/>
    <w:rsid w:val="00684CB6"/>
    <w:rsid w:val="00685631"/>
    <w:rsid w:val="00687422"/>
    <w:rsid w:val="006876AF"/>
    <w:rsid w:val="00690161"/>
    <w:rsid w:val="0069029A"/>
    <w:rsid w:val="00692AFE"/>
    <w:rsid w:val="0069303E"/>
    <w:rsid w:val="006943BE"/>
    <w:rsid w:val="00694F09"/>
    <w:rsid w:val="00695AE0"/>
    <w:rsid w:val="00697A8E"/>
    <w:rsid w:val="006A01DF"/>
    <w:rsid w:val="006A2A8D"/>
    <w:rsid w:val="006A4104"/>
    <w:rsid w:val="006A4976"/>
    <w:rsid w:val="006A4B67"/>
    <w:rsid w:val="006A4C14"/>
    <w:rsid w:val="006A5021"/>
    <w:rsid w:val="006A5D2D"/>
    <w:rsid w:val="006A6452"/>
    <w:rsid w:val="006A6891"/>
    <w:rsid w:val="006A6B49"/>
    <w:rsid w:val="006A780E"/>
    <w:rsid w:val="006B1039"/>
    <w:rsid w:val="006B1667"/>
    <w:rsid w:val="006B35C9"/>
    <w:rsid w:val="006B4652"/>
    <w:rsid w:val="006B4DF1"/>
    <w:rsid w:val="006B6BCD"/>
    <w:rsid w:val="006B71D9"/>
    <w:rsid w:val="006C2EE1"/>
    <w:rsid w:val="006C3A54"/>
    <w:rsid w:val="006C4627"/>
    <w:rsid w:val="006C6725"/>
    <w:rsid w:val="006C699E"/>
    <w:rsid w:val="006C6B9C"/>
    <w:rsid w:val="006D2D28"/>
    <w:rsid w:val="006D31F7"/>
    <w:rsid w:val="006D4BEF"/>
    <w:rsid w:val="006D4C98"/>
    <w:rsid w:val="006D518E"/>
    <w:rsid w:val="006D64BC"/>
    <w:rsid w:val="006D656F"/>
    <w:rsid w:val="006D6B67"/>
    <w:rsid w:val="006D78D0"/>
    <w:rsid w:val="006D7C26"/>
    <w:rsid w:val="006E0550"/>
    <w:rsid w:val="006E101A"/>
    <w:rsid w:val="006E11C0"/>
    <w:rsid w:val="006E1A59"/>
    <w:rsid w:val="006E1B40"/>
    <w:rsid w:val="006E2C10"/>
    <w:rsid w:val="006E2EFE"/>
    <w:rsid w:val="006E46B9"/>
    <w:rsid w:val="006E5CC5"/>
    <w:rsid w:val="006E6888"/>
    <w:rsid w:val="006E69F8"/>
    <w:rsid w:val="006E71E7"/>
    <w:rsid w:val="006E751A"/>
    <w:rsid w:val="006F0069"/>
    <w:rsid w:val="006F0567"/>
    <w:rsid w:val="006F1C6B"/>
    <w:rsid w:val="006F2CDC"/>
    <w:rsid w:val="006F2CE5"/>
    <w:rsid w:val="006F3766"/>
    <w:rsid w:val="006F5671"/>
    <w:rsid w:val="006F5C81"/>
    <w:rsid w:val="006F70EC"/>
    <w:rsid w:val="007026AA"/>
    <w:rsid w:val="00703E68"/>
    <w:rsid w:val="0070533A"/>
    <w:rsid w:val="00707535"/>
    <w:rsid w:val="00707C61"/>
    <w:rsid w:val="007104C4"/>
    <w:rsid w:val="00710CEA"/>
    <w:rsid w:val="0071249F"/>
    <w:rsid w:val="00715A42"/>
    <w:rsid w:val="00717CAF"/>
    <w:rsid w:val="007215EB"/>
    <w:rsid w:val="007218B4"/>
    <w:rsid w:val="007219D0"/>
    <w:rsid w:val="00723C69"/>
    <w:rsid w:val="00727488"/>
    <w:rsid w:val="0073188F"/>
    <w:rsid w:val="007320B0"/>
    <w:rsid w:val="00737B98"/>
    <w:rsid w:val="00740A02"/>
    <w:rsid w:val="00742511"/>
    <w:rsid w:val="00742F7B"/>
    <w:rsid w:val="00743B5C"/>
    <w:rsid w:val="00745E54"/>
    <w:rsid w:val="007525A2"/>
    <w:rsid w:val="007528C4"/>
    <w:rsid w:val="0075297D"/>
    <w:rsid w:val="00752C15"/>
    <w:rsid w:val="007531B7"/>
    <w:rsid w:val="00756556"/>
    <w:rsid w:val="00761C82"/>
    <w:rsid w:val="00761F8C"/>
    <w:rsid w:val="00762818"/>
    <w:rsid w:val="00764774"/>
    <w:rsid w:val="007657CF"/>
    <w:rsid w:val="00767A64"/>
    <w:rsid w:val="007740BC"/>
    <w:rsid w:val="0077473B"/>
    <w:rsid w:val="007752B8"/>
    <w:rsid w:val="00776048"/>
    <w:rsid w:val="007777A2"/>
    <w:rsid w:val="00777E8E"/>
    <w:rsid w:val="00781178"/>
    <w:rsid w:val="00781DD1"/>
    <w:rsid w:val="007820C1"/>
    <w:rsid w:val="007828FE"/>
    <w:rsid w:val="0078594D"/>
    <w:rsid w:val="0078701F"/>
    <w:rsid w:val="00787C53"/>
    <w:rsid w:val="00790874"/>
    <w:rsid w:val="00790B31"/>
    <w:rsid w:val="00791B32"/>
    <w:rsid w:val="007939EC"/>
    <w:rsid w:val="00793CBA"/>
    <w:rsid w:val="00793D0F"/>
    <w:rsid w:val="0079429A"/>
    <w:rsid w:val="0079508D"/>
    <w:rsid w:val="0079647B"/>
    <w:rsid w:val="007A09BB"/>
    <w:rsid w:val="007A0F2F"/>
    <w:rsid w:val="007A243C"/>
    <w:rsid w:val="007A3494"/>
    <w:rsid w:val="007A5E0C"/>
    <w:rsid w:val="007A6BC6"/>
    <w:rsid w:val="007A6F5A"/>
    <w:rsid w:val="007B0230"/>
    <w:rsid w:val="007B0C42"/>
    <w:rsid w:val="007B1966"/>
    <w:rsid w:val="007B31D9"/>
    <w:rsid w:val="007B4672"/>
    <w:rsid w:val="007B68D7"/>
    <w:rsid w:val="007C0E7C"/>
    <w:rsid w:val="007C0FB6"/>
    <w:rsid w:val="007C220C"/>
    <w:rsid w:val="007C4ABB"/>
    <w:rsid w:val="007C5070"/>
    <w:rsid w:val="007C5B5D"/>
    <w:rsid w:val="007C66D8"/>
    <w:rsid w:val="007C6AE4"/>
    <w:rsid w:val="007C6D97"/>
    <w:rsid w:val="007C6E24"/>
    <w:rsid w:val="007D14C3"/>
    <w:rsid w:val="007D1852"/>
    <w:rsid w:val="007D2E19"/>
    <w:rsid w:val="007D4231"/>
    <w:rsid w:val="007D4497"/>
    <w:rsid w:val="007D45D8"/>
    <w:rsid w:val="007D5EF3"/>
    <w:rsid w:val="007E0334"/>
    <w:rsid w:val="007E0CFD"/>
    <w:rsid w:val="007E265C"/>
    <w:rsid w:val="007E36D0"/>
    <w:rsid w:val="007E41EE"/>
    <w:rsid w:val="007E478D"/>
    <w:rsid w:val="007E6602"/>
    <w:rsid w:val="007E71D0"/>
    <w:rsid w:val="007F060F"/>
    <w:rsid w:val="007F369A"/>
    <w:rsid w:val="007F451F"/>
    <w:rsid w:val="007F59AD"/>
    <w:rsid w:val="007F73AD"/>
    <w:rsid w:val="008000AB"/>
    <w:rsid w:val="0080091E"/>
    <w:rsid w:val="008010BA"/>
    <w:rsid w:val="00801AA4"/>
    <w:rsid w:val="00803106"/>
    <w:rsid w:val="008053D2"/>
    <w:rsid w:val="008054D5"/>
    <w:rsid w:val="00805B87"/>
    <w:rsid w:val="00805CF8"/>
    <w:rsid w:val="008063C7"/>
    <w:rsid w:val="00806AA5"/>
    <w:rsid w:val="00812C14"/>
    <w:rsid w:val="00813029"/>
    <w:rsid w:val="00813175"/>
    <w:rsid w:val="00814AB0"/>
    <w:rsid w:val="008150D0"/>
    <w:rsid w:val="00815159"/>
    <w:rsid w:val="008200B7"/>
    <w:rsid w:val="008205CD"/>
    <w:rsid w:val="00821350"/>
    <w:rsid w:val="00823211"/>
    <w:rsid w:val="00823FF9"/>
    <w:rsid w:val="00825E79"/>
    <w:rsid w:val="00827C56"/>
    <w:rsid w:val="00831A3C"/>
    <w:rsid w:val="00831F42"/>
    <w:rsid w:val="00832537"/>
    <w:rsid w:val="008340D8"/>
    <w:rsid w:val="00834484"/>
    <w:rsid w:val="008347B1"/>
    <w:rsid w:val="00834C6C"/>
    <w:rsid w:val="00834CC0"/>
    <w:rsid w:val="00834DE9"/>
    <w:rsid w:val="00840BDE"/>
    <w:rsid w:val="008410FB"/>
    <w:rsid w:val="008412EF"/>
    <w:rsid w:val="00841F59"/>
    <w:rsid w:val="00842977"/>
    <w:rsid w:val="00843574"/>
    <w:rsid w:val="008452C2"/>
    <w:rsid w:val="008456B2"/>
    <w:rsid w:val="00845C6F"/>
    <w:rsid w:val="00845FC6"/>
    <w:rsid w:val="00846863"/>
    <w:rsid w:val="0085062D"/>
    <w:rsid w:val="00850AEE"/>
    <w:rsid w:val="0085145D"/>
    <w:rsid w:val="008544F6"/>
    <w:rsid w:val="008557BB"/>
    <w:rsid w:val="00856D5A"/>
    <w:rsid w:val="00860C13"/>
    <w:rsid w:val="00861276"/>
    <w:rsid w:val="00861A60"/>
    <w:rsid w:val="008626E8"/>
    <w:rsid w:val="00863154"/>
    <w:rsid w:val="008636DB"/>
    <w:rsid w:val="00863E9F"/>
    <w:rsid w:val="00866E77"/>
    <w:rsid w:val="00867983"/>
    <w:rsid w:val="00867D7C"/>
    <w:rsid w:val="008710D0"/>
    <w:rsid w:val="008729F6"/>
    <w:rsid w:val="008741A6"/>
    <w:rsid w:val="0087446F"/>
    <w:rsid w:val="0087498B"/>
    <w:rsid w:val="00874BEE"/>
    <w:rsid w:val="0087530F"/>
    <w:rsid w:val="008777D7"/>
    <w:rsid w:val="008814D3"/>
    <w:rsid w:val="00881E93"/>
    <w:rsid w:val="00882278"/>
    <w:rsid w:val="00882EAF"/>
    <w:rsid w:val="00883EB8"/>
    <w:rsid w:val="0088508B"/>
    <w:rsid w:val="008858A2"/>
    <w:rsid w:val="008861DC"/>
    <w:rsid w:val="00886C2E"/>
    <w:rsid w:val="008870E0"/>
    <w:rsid w:val="00887C47"/>
    <w:rsid w:val="0089032F"/>
    <w:rsid w:val="008908A4"/>
    <w:rsid w:val="00891A88"/>
    <w:rsid w:val="0089449F"/>
    <w:rsid w:val="00896682"/>
    <w:rsid w:val="008A019D"/>
    <w:rsid w:val="008A21AB"/>
    <w:rsid w:val="008A2914"/>
    <w:rsid w:val="008A2CD2"/>
    <w:rsid w:val="008A3517"/>
    <w:rsid w:val="008A47B3"/>
    <w:rsid w:val="008A4BE5"/>
    <w:rsid w:val="008A5BD4"/>
    <w:rsid w:val="008A6D52"/>
    <w:rsid w:val="008A77F8"/>
    <w:rsid w:val="008B0349"/>
    <w:rsid w:val="008B0607"/>
    <w:rsid w:val="008B16D6"/>
    <w:rsid w:val="008B2CC8"/>
    <w:rsid w:val="008B3438"/>
    <w:rsid w:val="008B7119"/>
    <w:rsid w:val="008B748F"/>
    <w:rsid w:val="008B759B"/>
    <w:rsid w:val="008C3D40"/>
    <w:rsid w:val="008C4888"/>
    <w:rsid w:val="008C6F1B"/>
    <w:rsid w:val="008C6FF4"/>
    <w:rsid w:val="008C7A4C"/>
    <w:rsid w:val="008D0EB0"/>
    <w:rsid w:val="008D5FCD"/>
    <w:rsid w:val="008D66C4"/>
    <w:rsid w:val="008E1BD8"/>
    <w:rsid w:val="008E2057"/>
    <w:rsid w:val="008E351A"/>
    <w:rsid w:val="008E4DB1"/>
    <w:rsid w:val="008E56D8"/>
    <w:rsid w:val="008E6CDF"/>
    <w:rsid w:val="008E73B5"/>
    <w:rsid w:val="008E78B8"/>
    <w:rsid w:val="008F007D"/>
    <w:rsid w:val="008F46CF"/>
    <w:rsid w:val="008F6047"/>
    <w:rsid w:val="008F6899"/>
    <w:rsid w:val="008F7B73"/>
    <w:rsid w:val="009000FA"/>
    <w:rsid w:val="00901375"/>
    <w:rsid w:val="00901A3C"/>
    <w:rsid w:val="0090209E"/>
    <w:rsid w:val="00904E8A"/>
    <w:rsid w:val="009055A1"/>
    <w:rsid w:val="00911F2D"/>
    <w:rsid w:val="009125DA"/>
    <w:rsid w:val="0091574D"/>
    <w:rsid w:val="009168F8"/>
    <w:rsid w:val="00917510"/>
    <w:rsid w:val="009209A0"/>
    <w:rsid w:val="0092346E"/>
    <w:rsid w:val="0092455C"/>
    <w:rsid w:val="00924C30"/>
    <w:rsid w:val="00925466"/>
    <w:rsid w:val="0092569C"/>
    <w:rsid w:val="00926348"/>
    <w:rsid w:val="009265BA"/>
    <w:rsid w:val="009268A5"/>
    <w:rsid w:val="00927D41"/>
    <w:rsid w:val="009324D4"/>
    <w:rsid w:val="00933195"/>
    <w:rsid w:val="00934994"/>
    <w:rsid w:val="00935C49"/>
    <w:rsid w:val="0093635F"/>
    <w:rsid w:val="00937414"/>
    <w:rsid w:val="009422AF"/>
    <w:rsid w:val="00943F4F"/>
    <w:rsid w:val="00944370"/>
    <w:rsid w:val="0094443A"/>
    <w:rsid w:val="00944EF6"/>
    <w:rsid w:val="009460AC"/>
    <w:rsid w:val="00950A3D"/>
    <w:rsid w:val="009521FB"/>
    <w:rsid w:val="00952BDA"/>
    <w:rsid w:val="009539D7"/>
    <w:rsid w:val="0095414A"/>
    <w:rsid w:val="00954205"/>
    <w:rsid w:val="00956E47"/>
    <w:rsid w:val="00956EB9"/>
    <w:rsid w:val="00957E26"/>
    <w:rsid w:val="0096089B"/>
    <w:rsid w:val="00960D24"/>
    <w:rsid w:val="009623AD"/>
    <w:rsid w:val="00963786"/>
    <w:rsid w:val="00965EB5"/>
    <w:rsid w:val="009666AA"/>
    <w:rsid w:val="00972BFE"/>
    <w:rsid w:val="00973518"/>
    <w:rsid w:val="00973776"/>
    <w:rsid w:val="009749CB"/>
    <w:rsid w:val="00974A0A"/>
    <w:rsid w:val="00975377"/>
    <w:rsid w:val="00976F05"/>
    <w:rsid w:val="009816E7"/>
    <w:rsid w:val="009821F5"/>
    <w:rsid w:val="0098230D"/>
    <w:rsid w:val="009831AF"/>
    <w:rsid w:val="0098330C"/>
    <w:rsid w:val="009840CE"/>
    <w:rsid w:val="00984E2B"/>
    <w:rsid w:val="009875CC"/>
    <w:rsid w:val="00987B12"/>
    <w:rsid w:val="009905DA"/>
    <w:rsid w:val="00991198"/>
    <w:rsid w:val="009911E7"/>
    <w:rsid w:val="00991F6D"/>
    <w:rsid w:val="00992AB2"/>
    <w:rsid w:val="0099429A"/>
    <w:rsid w:val="00994DAA"/>
    <w:rsid w:val="00996168"/>
    <w:rsid w:val="009976A1"/>
    <w:rsid w:val="00997B6C"/>
    <w:rsid w:val="00997F4C"/>
    <w:rsid w:val="009A0F85"/>
    <w:rsid w:val="009A1AD6"/>
    <w:rsid w:val="009A2838"/>
    <w:rsid w:val="009A2B0A"/>
    <w:rsid w:val="009A3172"/>
    <w:rsid w:val="009A462A"/>
    <w:rsid w:val="009A4F60"/>
    <w:rsid w:val="009A7012"/>
    <w:rsid w:val="009B0A70"/>
    <w:rsid w:val="009B1101"/>
    <w:rsid w:val="009B184D"/>
    <w:rsid w:val="009B23C4"/>
    <w:rsid w:val="009B23FD"/>
    <w:rsid w:val="009B245F"/>
    <w:rsid w:val="009B2A3A"/>
    <w:rsid w:val="009B46DB"/>
    <w:rsid w:val="009B5AF1"/>
    <w:rsid w:val="009B6812"/>
    <w:rsid w:val="009B6D6F"/>
    <w:rsid w:val="009B73F0"/>
    <w:rsid w:val="009C0AE7"/>
    <w:rsid w:val="009C233F"/>
    <w:rsid w:val="009C2B43"/>
    <w:rsid w:val="009C4213"/>
    <w:rsid w:val="009C5585"/>
    <w:rsid w:val="009C58B3"/>
    <w:rsid w:val="009C63F4"/>
    <w:rsid w:val="009C64AE"/>
    <w:rsid w:val="009C7213"/>
    <w:rsid w:val="009C78E4"/>
    <w:rsid w:val="009D1951"/>
    <w:rsid w:val="009D1DDA"/>
    <w:rsid w:val="009D20DE"/>
    <w:rsid w:val="009D2377"/>
    <w:rsid w:val="009D389F"/>
    <w:rsid w:val="009D483F"/>
    <w:rsid w:val="009D5B08"/>
    <w:rsid w:val="009D61B7"/>
    <w:rsid w:val="009E04E7"/>
    <w:rsid w:val="009E0B85"/>
    <w:rsid w:val="009E0DB3"/>
    <w:rsid w:val="009E0F74"/>
    <w:rsid w:val="009E1552"/>
    <w:rsid w:val="009E26F4"/>
    <w:rsid w:val="009E5D34"/>
    <w:rsid w:val="009E600A"/>
    <w:rsid w:val="009E72EA"/>
    <w:rsid w:val="009F02C5"/>
    <w:rsid w:val="009F0F46"/>
    <w:rsid w:val="009F0F79"/>
    <w:rsid w:val="009F2D7B"/>
    <w:rsid w:val="009F5108"/>
    <w:rsid w:val="009F53EF"/>
    <w:rsid w:val="009F561D"/>
    <w:rsid w:val="009F795B"/>
    <w:rsid w:val="00A005A0"/>
    <w:rsid w:val="00A0193F"/>
    <w:rsid w:val="00A01C61"/>
    <w:rsid w:val="00A0269E"/>
    <w:rsid w:val="00A0566B"/>
    <w:rsid w:val="00A07FD3"/>
    <w:rsid w:val="00A108F0"/>
    <w:rsid w:val="00A11F66"/>
    <w:rsid w:val="00A12D9B"/>
    <w:rsid w:val="00A134E5"/>
    <w:rsid w:val="00A139F1"/>
    <w:rsid w:val="00A13CCB"/>
    <w:rsid w:val="00A1552F"/>
    <w:rsid w:val="00A15822"/>
    <w:rsid w:val="00A15B77"/>
    <w:rsid w:val="00A15C35"/>
    <w:rsid w:val="00A166A8"/>
    <w:rsid w:val="00A176EB"/>
    <w:rsid w:val="00A21151"/>
    <w:rsid w:val="00A228B9"/>
    <w:rsid w:val="00A23622"/>
    <w:rsid w:val="00A251C0"/>
    <w:rsid w:val="00A30D3F"/>
    <w:rsid w:val="00A353A4"/>
    <w:rsid w:val="00A3555A"/>
    <w:rsid w:val="00A37D4B"/>
    <w:rsid w:val="00A40ECB"/>
    <w:rsid w:val="00A41156"/>
    <w:rsid w:val="00A41FBB"/>
    <w:rsid w:val="00A43445"/>
    <w:rsid w:val="00A44908"/>
    <w:rsid w:val="00A4497A"/>
    <w:rsid w:val="00A44C6A"/>
    <w:rsid w:val="00A455D1"/>
    <w:rsid w:val="00A46137"/>
    <w:rsid w:val="00A466E4"/>
    <w:rsid w:val="00A50313"/>
    <w:rsid w:val="00A50598"/>
    <w:rsid w:val="00A506B3"/>
    <w:rsid w:val="00A51E58"/>
    <w:rsid w:val="00A53A61"/>
    <w:rsid w:val="00A547CF"/>
    <w:rsid w:val="00A5658F"/>
    <w:rsid w:val="00A56749"/>
    <w:rsid w:val="00A56C2B"/>
    <w:rsid w:val="00A571C8"/>
    <w:rsid w:val="00A57DA9"/>
    <w:rsid w:val="00A57FC9"/>
    <w:rsid w:val="00A61A0C"/>
    <w:rsid w:val="00A61E9D"/>
    <w:rsid w:val="00A648C5"/>
    <w:rsid w:val="00A649F4"/>
    <w:rsid w:val="00A64A87"/>
    <w:rsid w:val="00A65AF1"/>
    <w:rsid w:val="00A669A7"/>
    <w:rsid w:val="00A67440"/>
    <w:rsid w:val="00A70E88"/>
    <w:rsid w:val="00A7136F"/>
    <w:rsid w:val="00A71BCF"/>
    <w:rsid w:val="00A75273"/>
    <w:rsid w:val="00A7552D"/>
    <w:rsid w:val="00A836AD"/>
    <w:rsid w:val="00A86078"/>
    <w:rsid w:val="00A90E3B"/>
    <w:rsid w:val="00A92123"/>
    <w:rsid w:val="00A93171"/>
    <w:rsid w:val="00A93847"/>
    <w:rsid w:val="00A963CE"/>
    <w:rsid w:val="00A97401"/>
    <w:rsid w:val="00AA10DE"/>
    <w:rsid w:val="00AA17C4"/>
    <w:rsid w:val="00AA4D91"/>
    <w:rsid w:val="00AA5850"/>
    <w:rsid w:val="00AA6E96"/>
    <w:rsid w:val="00AA7547"/>
    <w:rsid w:val="00AA79AB"/>
    <w:rsid w:val="00AA7A68"/>
    <w:rsid w:val="00AB2099"/>
    <w:rsid w:val="00AB2574"/>
    <w:rsid w:val="00AB2F56"/>
    <w:rsid w:val="00AB40E3"/>
    <w:rsid w:val="00AB4ADD"/>
    <w:rsid w:val="00AB68CE"/>
    <w:rsid w:val="00AB6A82"/>
    <w:rsid w:val="00AB72F1"/>
    <w:rsid w:val="00AB7F7F"/>
    <w:rsid w:val="00AC0B9C"/>
    <w:rsid w:val="00AC3BF6"/>
    <w:rsid w:val="00AC3FB5"/>
    <w:rsid w:val="00AC4B95"/>
    <w:rsid w:val="00AC6C42"/>
    <w:rsid w:val="00AC7136"/>
    <w:rsid w:val="00AD3F60"/>
    <w:rsid w:val="00AD4538"/>
    <w:rsid w:val="00AD4E07"/>
    <w:rsid w:val="00AD681C"/>
    <w:rsid w:val="00AE0049"/>
    <w:rsid w:val="00AE1528"/>
    <w:rsid w:val="00AE15D9"/>
    <w:rsid w:val="00AE20E8"/>
    <w:rsid w:val="00AE515C"/>
    <w:rsid w:val="00AE541B"/>
    <w:rsid w:val="00AE544D"/>
    <w:rsid w:val="00AE55D9"/>
    <w:rsid w:val="00AE708F"/>
    <w:rsid w:val="00AF0950"/>
    <w:rsid w:val="00AF4041"/>
    <w:rsid w:val="00AF4198"/>
    <w:rsid w:val="00AF5950"/>
    <w:rsid w:val="00AF636E"/>
    <w:rsid w:val="00AF6701"/>
    <w:rsid w:val="00AF6AC2"/>
    <w:rsid w:val="00B00A01"/>
    <w:rsid w:val="00B0224A"/>
    <w:rsid w:val="00B026D3"/>
    <w:rsid w:val="00B03215"/>
    <w:rsid w:val="00B034E4"/>
    <w:rsid w:val="00B06090"/>
    <w:rsid w:val="00B07F44"/>
    <w:rsid w:val="00B13600"/>
    <w:rsid w:val="00B15D7B"/>
    <w:rsid w:val="00B17B30"/>
    <w:rsid w:val="00B24724"/>
    <w:rsid w:val="00B251B4"/>
    <w:rsid w:val="00B26498"/>
    <w:rsid w:val="00B27291"/>
    <w:rsid w:val="00B276AC"/>
    <w:rsid w:val="00B309AC"/>
    <w:rsid w:val="00B31F29"/>
    <w:rsid w:val="00B33AF5"/>
    <w:rsid w:val="00B350A9"/>
    <w:rsid w:val="00B353D0"/>
    <w:rsid w:val="00B35C2A"/>
    <w:rsid w:val="00B369D6"/>
    <w:rsid w:val="00B407D1"/>
    <w:rsid w:val="00B41665"/>
    <w:rsid w:val="00B425FC"/>
    <w:rsid w:val="00B4294D"/>
    <w:rsid w:val="00B439A7"/>
    <w:rsid w:val="00B43E5B"/>
    <w:rsid w:val="00B44E9E"/>
    <w:rsid w:val="00B45734"/>
    <w:rsid w:val="00B471F8"/>
    <w:rsid w:val="00B5146B"/>
    <w:rsid w:val="00B523D6"/>
    <w:rsid w:val="00B5284A"/>
    <w:rsid w:val="00B542AE"/>
    <w:rsid w:val="00B571FF"/>
    <w:rsid w:val="00B60C91"/>
    <w:rsid w:val="00B60E04"/>
    <w:rsid w:val="00B614F7"/>
    <w:rsid w:val="00B61808"/>
    <w:rsid w:val="00B621D1"/>
    <w:rsid w:val="00B624B3"/>
    <w:rsid w:val="00B645AF"/>
    <w:rsid w:val="00B66100"/>
    <w:rsid w:val="00B70624"/>
    <w:rsid w:val="00B71199"/>
    <w:rsid w:val="00B72FB1"/>
    <w:rsid w:val="00B73FA8"/>
    <w:rsid w:val="00B74843"/>
    <w:rsid w:val="00B75550"/>
    <w:rsid w:val="00B757E4"/>
    <w:rsid w:val="00B75BE3"/>
    <w:rsid w:val="00B75D46"/>
    <w:rsid w:val="00B773BC"/>
    <w:rsid w:val="00B7797D"/>
    <w:rsid w:val="00B80167"/>
    <w:rsid w:val="00B80904"/>
    <w:rsid w:val="00B80A0E"/>
    <w:rsid w:val="00B824B9"/>
    <w:rsid w:val="00B82898"/>
    <w:rsid w:val="00B83E78"/>
    <w:rsid w:val="00B84FE7"/>
    <w:rsid w:val="00B8500D"/>
    <w:rsid w:val="00B85650"/>
    <w:rsid w:val="00B9008A"/>
    <w:rsid w:val="00B903EF"/>
    <w:rsid w:val="00B90E39"/>
    <w:rsid w:val="00B91BB9"/>
    <w:rsid w:val="00B92511"/>
    <w:rsid w:val="00B92A57"/>
    <w:rsid w:val="00B93E5E"/>
    <w:rsid w:val="00B93F93"/>
    <w:rsid w:val="00B95E17"/>
    <w:rsid w:val="00B9610C"/>
    <w:rsid w:val="00B9729C"/>
    <w:rsid w:val="00BA0A84"/>
    <w:rsid w:val="00BA0ADC"/>
    <w:rsid w:val="00BA26BB"/>
    <w:rsid w:val="00BA365E"/>
    <w:rsid w:val="00BA3767"/>
    <w:rsid w:val="00BA6DBA"/>
    <w:rsid w:val="00BA7072"/>
    <w:rsid w:val="00BB0AB3"/>
    <w:rsid w:val="00BB0D6A"/>
    <w:rsid w:val="00BB302F"/>
    <w:rsid w:val="00BB3EE9"/>
    <w:rsid w:val="00BB4052"/>
    <w:rsid w:val="00BB432B"/>
    <w:rsid w:val="00BB5091"/>
    <w:rsid w:val="00BB5724"/>
    <w:rsid w:val="00BB694C"/>
    <w:rsid w:val="00BC0DE0"/>
    <w:rsid w:val="00BC0EE8"/>
    <w:rsid w:val="00BC14AB"/>
    <w:rsid w:val="00BC2B83"/>
    <w:rsid w:val="00BC4BFF"/>
    <w:rsid w:val="00BC51F2"/>
    <w:rsid w:val="00BC5A5C"/>
    <w:rsid w:val="00BC7DE2"/>
    <w:rsid w:val="00BD1218"/>
    <w:rsid w:val="00BD123A"/>
    <w:rsid w:val="00BD167A"/>
    <w:rsid w:val="00BD17A5"/>
    <w:rsid w:val="00BD3FFD"/>
    <w:rsid w:val="00BD439A"/>
    <w:rsid w:val="00BD4638"/>
    <w:rsid w:val="00BD7299"/>
    <w:rsid w:val="00BD7874"/>
    <w:rsid w:val="00BE1011"/>
    <w:rsid w:val="00BE155D"/>
    <w:rsid w:val="00BE16CB"/>
    <w:rsid w:val="00BE1B32"/>
    <w:rsid w:val="00BE40BB"/>
    <w:rsid w:val="00BE489E"/>
    <w:rsid w:val="00BE5729"/>
    <w:rsid w:val="00BE7BA6"/>
    <w:rsid w:val="00BF098B"/>
    <w:rsid w:val="00BF0D20"/>
    <w:rsid w:val="00BF2333"/>
    <w:rsid w:val="00BF2638"/>
    <w:rsid w:val="00BF321D"/>
    <w:rsid w:val="00BF3E96"/>
    <w:rsid w:val="00BF3FBC"/>
    <w:rsid w:val="00BF4307"/>
    <w:rsid w:val="00BF5083"/>
    <w:rsid w:val="00BF5735"/>
    <w:rsid w:val="00BF616F"/>
    <w:rsid w:val="00BF779D"/>
    <w:rsid w:val="00C0156E"/>
    <w:rsid w:val="00C0176C"/>
    <w:rsid w:val="00C02A45"/>
    <w:rsid w:val="00C05A44"/>
    <w:rsid w:val="00C06616"/>
    <w:rsid w:val="00C070E6"/>
    <w:rsid w:val="00C0738F"/>
    <w:rsid w:val="00C07971"/>
    <w:rsid w:val="00C07C6A"/>
    <w:rsid w:val="00C102CC"/>
    <w:rsid w:val="00C105BB"/>
    <w:rsid w:val="00C10BD9"/>
    <w:rsid w:val="00C11B24"/>
    <w:rsid w:val="00C14453"/>
    <w:rsid w:val="00C15F72"/>
    <w:rsid w:val="00C178E8"/>
    <w:rsid w:val="00C17CE0"/>
    <w:rsid w:val="00C17F6A"/>
    <w:rsid w:val="00C20019"/>
    <w:rsid w:val="00C20C27"/>
    <w:rsid w:val="00C22076"/>
    <w:rsid w:val="00C22486"/>
    <w:rsid w:val="00C22B03"/>
    <w:rsid w:val="00C24B0A"/>
    <w:rsid w:val="00C31B42"/>
    <w:rsid w:val="00C33C88"/>
    <w:rsid w:val="00C35F7F"/>
    <w:rsid w:val="00C37B0F"/>
    <w:rsid w:val="00C37C49"/>
    <w:rsid w:val="00C4171C"/>
    <w:rsid w:val="00C4325D"/>
    <w:rsid w:val="00C439EA"/>
    <w:rsid w:val="00C4492E"/>
    <w:rsid w:val="00C4560B"/>
    <w:rsid w:val="00C45BFE"/>
    <w:rsid w:val="00C462F7"/>
    <w:rsid w:val="00C47DCF"/>
    <w:rsid w:val="00C51EDD"/>
    <w:rsid w:val="00C529D7"/>
    <w:rsid w:val="00C53425"/>
    <w:rsid w:val="00C54C56"/>
    <w:rsid w:val="00C6012D"/>
    <w:rsid w:val="00C60222"/>
    <w:rsid w:val="00C65075"/>
    <w:rsid w:val="00C6693F"/>
    <w:rsid w:val="00C66B83"/>
    <w:rsid w:val="00C66D06"/>
    <w:rsid w:val="00C700B7"/>
    <w:rsid w:val="00C70179"/>
    <w:rsid w:val="00C710CD"/>
    <w:rsid w:val="00C7210E"/>
    <w:rsid w:val="00C73C9E"/>
    <w:rsid w:val="00C75B92"/>
    <w:rsid w:val="00C76017"/>
    <w:rsid w:val="00C76A0A"/>
    <w:rsid w:val="00C816BF"/>
    <w:rsid w:val="00C81D09"/>
    <w:rsid w:val="00C81F80"/>
    <w:rsid w:val="00C82E63"/>
    <w:rsid w:val="00C839D3"/>
    <w:rsid w:val="00C849DC"/>
    <w:rsid w:val="00C85DB3"/>
    <w:rsid w:val="00C86281"/>
    <w:rsid w:val="00C86ABA"/>
    <w:rsid w:val="00C87F9A"/>
    <w:rsid w:val="00C91E46"/>
    <w:rsid w:val="00C92FCC"/>
    <w:rsid w:val="00C93159"/>
    <w:rsid w:val="00C93F8B"/>
    <w:rsid w:val="00C948FD"/>
    <w:rsid w:val="00C949D2"/>
    <w:rsid w:val="00C94E71"/>
    <w:rsid w:val="00C96469"/>
    <w:rsid w:val="00C9765E"/>
    <w:rsid w:val="00CA0BAF"/>
    <w:rsid w:val="00CA0D4B"/>
    <w:rsid w:val="00CA3CE2"/>
    <w:rsid w:val="00CA4120"/>
    <w:rsid w:val="00CA5EC2"/>
    <w:rsid w:val="00CA64D6"/>
    <w:rsid w:val="00CA6BFC"/>
    <w:rsid w:val="00CA7BBF"/>
    <w:rsid w:val="00CB109A"/>
    <w:rsid w:val="00CB231B"/>
    <w:rsid w:val="00CB382B"/>
    <w:rsid w:val="00CB54A2"/>
    <w:rsid w:val="00CB7D39"/>
    <w:rsid w:val="00CC22C1"/>
    <w:rsid w:val="00CC7034"/>
    <w:rsid w:val="00CD12A6"/>
    <w:rsid w:val="00CD293A"/>
    <w:rsid w:val="00CD47E1"/>
    <w:rsid w:val="00CD77E5"/>
    <w:rsid w:val="00CE10F1"/>
    <w:rsid w:val="00CE377A"/>
    <w:rsid w:val="00CE3EE8"/>
    <w:rsid w:val="00CE4092"/>
    <w:rsid w:val="00CE473E"/>
    <w:rsid w:val="00CE65DD"/>
    <w:rsid w:val="00CE7A45"/>
    <w:rsid w:val="00CF00D0"/>
    <w:rsid w:val="00CF2C94"/>
    <w:rsid w:val="00CF338E"/>
    <w:rsid w:val="00CF4715"/>
    <w:rsid w:val="00CF5872"/>
    <w:rsid w:val="00CF58C6"/>
    <w:rsid w:val="00CF61DA"/>
    <w:rsid w:val="00D006B9"/>
    <w:rsid w:val="00D00A97"/>
    <w:rsid w:val="00D011D4"/>
    <w:rsid w:val="00D0259B"/>
    <w:rsid w:val="00D03BE1"/>
    <w:rsid w:val="00D04A2B"/>
    <w:rsid w:val="00D0525E"/>
    <w:rsid w:val="00D06470"/>
    <w:rsid w:val="00D06D3D"/>
    <w:rsid w:val="00D06EDD"/>
    <w:rsid w:val="00D11548"/>
    <w:rsid w:val="00D128D9"/>
    <w:rsid w:val="00D15EF4"/>
    <w:rsid w:val="00D16BB0"/>
    <w:rsid w:val="00D17353"/>
    <w:rsid w:val="00D179C1"/>
    <w:rsid w:val="00D21A66"/>
    <w:rsid w:val="00D22622"/>
    <w:rsid w:val="00D227F7"/>
    <w:rsid w:val="00D2380C"/>
    <w:rsid w:val="00D24A96"/>
    <w:rsid w:val="00D2655A"/>
    <w:rsid w:val="00D265DE"/>
    <w:rsid w:val="00D272A3"/>
    <w:rsid w:val="00D308F2"/>
    <w:rsid w:val="00D3138F"/>
    <w:rsid w:val="00D33384"/>
    <w:rsid w:val="00D33C09"/>
    <w:rsid w:val="00D34050"/>
    <w:rsid w:val="00D345CE"/>
    <w:rsid w:val="00D348F2"/>
    <w:rsid w:val="00D35B63"/>
    <w:rsid w:val="00D4096B"/>
    <w:rsid w:val="00D418A0"/>
    <w:rsid w:val="00D425B7"/>
    <w:rsid w:val="00D42D5E"/>
    <w:rsid w:val="00D43D6A"/>
    <w:rsid w:val="00D440F1"/>
    <w:rsid w:val="00D442A1"/>
    <w:rsid w:val="00D460F4"/>
    <w:rsid w:val="00D47279"/>
    <w:rsid w:val="00D47798"/>
    <w:rsid w:val="00D500E1"/>
    <w:rsid w:val="00D5100D"/>
    <w:rsid w:val="00D51A64"/>
    <w:rsid w:val="00D53163"/>
    <w:rsid w:val="00D5346A"/>
    <w:rsid w:val="00D53F0A"/>
    <w:rsid w:val="00D54E80"/>
    <w:rsid w:val="00D5581E"/>
    <w:rsid w:val="00D55B4A"/>
    <w:rsid w:val="00D566BD"/>
    <w:rsid w:val="00D613FB"/>
    <w:rsid w:val="00D61493"/>
    <w:rsid w:val="00D618D3"/>
    <w:rsid w:val="00D62F87"/>
    <w:rsid w:val="00D64962"/>
    <w:rsid w:val="00D64AAC"/>
    <w:rsid w:val="00D65778"/>
    <w:rsid w:val="00D667ED"/>
    <w:rsid w:val="00D673AA"/>
    <w:rsid w:val="00D70E0E"/>
    <w:rsid w:val="00D71702"/>
    <w:rsid w:val="00D718EB"/>
    <w:rsid w:val="00D7201E"/>
    <w:rsid w:val="00D7381B"/>
    <w:rsid w:val="00D739F3"/>
    <w:rsid w:val="00D73FE5"/>
    <w:rsid w:val="00D74557"/>
    <w:rsid w:val="00D755D2"/>
    <w:rsid w:val="00D772AA"/>
    <w:rsid w:val="00D8071A"/>
    <w:rsid w:val="00D81924"/>
    <w:rsid w:val="00D83310"/>
    <w:rsid w:val="00D86840"/>
    <w:rsid w:val="00D86E4A"/>
    <w:rsid w:val="00D86EE1"/>
    <w:rsid w:val="00D90E05"/>
    <w:rsid w:val="00D92EA5"/>
    <w:rsid w:val="00D93E48"/>
    <w:rsid w:val="00D93E81"/>
    <w:rsid w:val="00DA0B33"/>
    <w:rsid w:val="00DA1FE4"/>
    <w:rsid w:val="00DA2F3A"/>
    <w:rsid w:val="00DA5A49"/>
    <w:rsid w:val="00DB0631"/>
    <w:rsid w:val="00DB2091"/>
    <w:rsid w:val="00DB5E0C"/>
    <w:rsid w:val="00DB6BF6"/>
    <w:rsid w:val="00DB79DC"/>
    <w:rsid w:val="00DB7BFF"/>
    <w:rsid w:val="00DC25BE"/>
    <w:rsid w:val="00DC278F"/>
    <w:rsid w:val="00DC4330"/>
    <w:rsid w:val="00DC5FA6"/>
    <w:rsid w:val="00DC66AD"/>
    <w:rsid w:val="00DC68DC"/>
    <w:rsid w:val="00DD01BA"/>
    <w:rsid w:val="00DD0C22"/>
    <w:rsid w:val="00DD1DB1"/>
    <w:rsid w:val="00DD28DC"/>
    <w:rsid w:val="00DD3D75"/>
    <w:rsid w:val="00DD4164"/>
    <w:rsid w:val="00DD4D22"/>
    <w:rsid w:val="00DD4E3F"/>
    <w:rsid w:val="00DD576E"/>
    <w:rsid w:val="00DE4749"/>
    <w:rsid w:val="00DF083D"/>
    <w:rsid w:val="00DF31EA"/>
    <w:rsid w:val="00DF3918"/>
    <w:rsid w:val="00DF45B6"/>
    <w:rsid w:val="00DF5A40"/>
    <w:rsid w:val="00DF5BAB"/>
    <w:rsid w:val="00DF5E25"/>
    <w:rsid w:val="00DF74BA"/>
    <w:rsid w:val="00E02539"/>
    <w:rsid w:val="00E03F6F"/>
    <w:rsid w:val="00E0405A"/>
    <w:rsid w:val="00E11F25"/>
    <w:rsid w:val="00E12775"/>
    <w:rsid w:val="00E12997"/>
    <w:rsid w:val="00E129A5"/>
    <w:rsid w:val="00E15AC5"/>
    <w:rsid w:val="00E1621F"/>
    <w:rsid w:val="00E20FD4"/>
    <w:rsid w:val="00E23AF9"/>
    <w:rsid w:val="00E25071"/>
    <w:rsid w:val="00E27631"/>
    <w:rsid w:val="00E30ADA"/>
    <w:rsid w:val="00E321D5"/>
    <w:rsid w:val="00E32E33"/>
    <w:rsid w:val="00E33547"/>
    <w:rsid w:val="00E33794"/>
    <w:rsid w:val="00E34570"/>
    <w:rsid w:val="00E40A74"/>
    <w:rsid w:val="00E40EEC"/>
    <w:rsid w:val="00E41F1C"/>
    <w:rsid w:val="00E45FFD"/>
    <w:rsid w:val="00E4729F"/>
    <w:rsid w:val="00E52EF2"/>
    <w:rsid w:val="00E5324B"/>
    <w:rsid w:val="00E54A60"/>
    <w:rsid w:val="00E55467"/>
    <w:rsid w:val="00E57CEB"/>
    <w:rsid w:val="00E60143"/>
    <w:rsid w:val="00E60172"/>
    <w:rsid w:val="00E60E8F"/>
    <w:rsid w:val="00E64265"/>
    <w:rsid w:val="00E723B7"/>
    <w:rsid w:val="00E72587"/>
    <w:rsid w:val="00E72CD2"/>
    <w:rsid w:val="00E73B80"/>
    <w:rsid w:val="00E74273"/>
    <w:rsid w:val="00E74AD3"/>
    <w:rsid w:val="00E74C26"/>
    <w:rsid w:val="00E750DE"/>
    <w:rsid w:val="00E764A4"/>
    <w:rsid w:val="00E76FD5"/>
    <w:rsid w:val="00E771F3"/>
    <w:rsid w:val="00E77A80"/>
    <w:rsid w:val="00E809CB"/>
    <w:rsid w:val="00E80C67"/>
    <w:rsid w:val="00E816CE"/>
    <w:rsid w:val="00E81757"/>
    <w:rsid w:val="00E81D19"/>
    <w:rsid w:val="00E82CF3"/>
    <w:rsid w:val="00E830B7"/>
    <w:rsid w:val="00E83BBB"/>
    <w:rsid w:val="00E8764B"/>
    <w:rsid w:val="00E87709"/>
    <w:rsid w:val="00E879F6"/>
    <w:rsid w:val="00E91109"/>
    <w:rsid w:val="00E91422"/>
    <w:rsid w:val="00E91CE1"/>
    <w:rsid w:val="00E92288"/>
    <w:rsid w:val="00E93AA2"/>
    <w:rsid w:val="00E93E6D"/>
    <w:rsid w:val="00E95DFF"/>
    <w:rsid w:val="00EA00C9"/>
    <w:rsid w:val="00EA0C09"/>
    <w:rsid w:val="00EA2C94"/>
    <w:rsid w:val="00EA319D"/>
    <w:rsid w:val="00EA4571"/>
    <w:rsid w:val="00EA5725"/>
    <w:rsid w:val="00EB0540"/>
    <w:rsid w:val="00EB10C1"/>
    <w:rsid w:val="00EB1D21"/>
    <w:rsid w:val="00EB2402"/>
    <w:rsid w:val="00EB3B36"/>
    <w:rsid w:val="00EB3B5F"/>
    <w:rsid w:val="00EB5384"/>
    <w:rsid w:val="00EB5DAF"/>
    <w:rsid w:val="00EB6190"/>
    <w:rsid w:val="00EB6BA5"/>
    <w:rsid w:val="00EB6EE4"/>
    <w:rsid w:val="00EB7571"/>
    <w:rsid w:val="00EB78BA"/>
    <w:rsid w:val="00EB7D4A"/>
    <w:rsid w:val="00EC1339"/>
    <w:rsid w:val="00EC29B8"/>
    <w:rsid w:val="00EC2BAA"/>
    <w:rsid w:val="00EC2DDC"/>
    <w:rsid w:val="00EC3C98"/>
    <w:rsid w:val="00EC533C"/>
    <w:rsid w:val="00EC67AE"/>
    <w:rsid w:val="00EC6BE5"/>
    <w:rsid w:val="00EC7713"/>
    <w:rsid w:val="00ED104F"/>
    <w:rsid w:val="00ED208C"/>
    <w:rsid w:val="00ED25A5"/>
    <w:rsid w:val="00ED28D8"/>
    <w:rsid w:val="00ED3424"/>
    <w:rsid w:val="00ED48AF"/>
    <w:rsid w:val="00ED4B55"/>
    <w:rsid w:val="00ED5E0B"/>
    <w:rsid w:val="00ED6BC4"/>
    <w:rsid w:val="00EE16EB"/>
    <w:rsid w:val="00EE2985"/>
    <w:rsid w:val="00EE4DB6"/>
    <w:rsid w:val="00EE549A"/>
    <w:rsid w:val="00EE5DB1"/>
    <w:rsid w:val="00EE788C"/>
    <w:rsid w:val="00EE7F94"/>
    <w:rsid w:val="00EF37FB"/>
    <w:rsid w:val="00EF46DD"/>
    <w:rsid w:val="00EF591E"/>
    <w:rsid w:val="00EF6902"/>
    <w:rsid w:val="00EF7FDC"/>
    <w:rsid w:val="00F00736"/>
    <w:rsid w:val="00F007D1"/>
    <w:rsid w:val="00F03C5B"/>
    <w:rsid w:val="00F101DA"/>
    <w:rsid w:val="00F1082F"/>
    <w:rsid w:val="00F11ED4"/>
    <w:rsid w:val="00F12E52"/>
    <w:rsid w:val="00F151E8"/>
    <w:rsid w:val="00F156C7"/>
    <w:rsid w:val="00F1578E"/>
    <w:rsid w:val="00F162EE"/>
    <w:rsid w:val="00F163C4"/>
    <w:rsid w:val="00F213AB"/>
    <w:rsid w:val="00F24D7B"/>
    <w:rsid w:val="00F25EDE"/>
    <w:rsid w:val="00F2702C"/>
    <w:rsid w:val="00F27559"/>
    <w:rsid w:val="00F279D8"/>
    <w:rsid w:val="00F30FFC"/>
    <w:rsid w:val="00F31F81"/>
    <w:rsid w:val="00F326DD"/>
    <w:rsid w:val="00F340D1"/>
    <w:rsid w:val="00F345BA"/>
    <w:rsid w:val="00F35910"/>
    <w:rsid w:val="00F40273"/>
    <w:rsid w:val="00F40544"/>
    <w:rsid w:val="00F413EB"/>
    <w:rsid w:val="00F41795"/>
    <w:rsid w:val="00F42559"/>
    <w:rsid w:val="00F426D2"/>
    <w:rsid w:val="00F431D4"/>
    <w:rsid w:val="00F44802"/>
    <w:rsid w:val="00F453E1"/>
    <w:rsid w:val="00F46E44"/>
    <w:rsid w:val="00F4728B"/>
    <w:rsid w:val="00F478D3"/>
    <w:rsid w:val="00F50483"/>
    <w:rsid w:val="00F51C6A"/>
    <w:rsid w:val="00F51CEE"/>
    <w:rsid w:val="00F51CF8"/>
    <w:rsid w:val="00F5410A"/>
    <w:rsid w:val="00F54CA9"/>
    <w:rsid w:val="00F5542F"/>
    <w:rsid w:val="00F556A6"/>
    <w:rsid w:val="00F55BE2"/>
    <w:rsid w:val="00F6021F"/>
    <w:rsid w:val="00F613AD"/>
    <w:rsid w:val="00F623B3"/>
    <w:rsid w:val="00F6459F"/>
    <w:rsid w:val="00F64670"/>
    <w:rsid w:val="00F65568"/>
    <w:rsid w:val="00F66D54"/>
    <w:rsid w:val="00F6740F"/>
    <w:rsid w:val="00F674DB"/>
    <w:rsid w:val="00F6798C"/>
    <w:rsid w:val="00F707D9"/>
    <w:rsid w:val="00F708FC"/>
    <w:rsid w:val="00F7391F"/>
    <w:rsid w:val="00F739BA"/>
    <w:rsid w:val="00F739E1"/>
    <w:rsid w:val="00F751A1"/>
    <w:rsid w:val="00F75357"/>
    <w:rsid w:val="00F769FE"/>
    <w:rsid w:val="00F76B03"/>
    <w:rsid w:val="00F77B11"/>
    <w:rsid w:val="00F77B83"/>
    <w:rsid w:val="00F77D92"/>
    <w:rsid w:val="00F8126B"/>
    <w:rsid w:val="00F82D90"/>
    <w:rsid w:val="00F838FF"/>
    <w:rsid w:val="00F859C6"/>
    <w:rsid w:val="00F864B8"/>
    <w:rsid w:val="00F87C4E"/>
    <w:rsid w:val="00F9156E"/>
    <w:rsid w:val="00F92014"/>
    <w:rsid w:val="00F92542"/>
    <w:rsid w:val="00F94113"/>
    <w:rsid w:val="00F94658"/>
    <w:rsid w:val="00F96E70"/>
    <w:rsid w:val="00F97BAC"/>
    <w:rsid w:val="00F97F2E"/>
    <w:rsid w:val="00FA004E"/>
    <w:rsid w:val="00FA07B8"/>
    <w:rsid w:val="00FA1593"/>
    <w:rsid w:val="00FA3842"/>
    <w:rsid w:val="00FA3BD1"/>
    <w:rsid w:val="00FB0432"/>
    <w:rsid w:val="00FB0CEB"/>
    <w:rsid w:val="00FB1E5D"/>
    <w:rsid w:val="00FB1F84"/>
    <w:rsid w:val="00FB24D6"/>
    <w:rsid w:val="00FB4764"/>
    <w:rsid w:val="00FB4A0C"/>
    <w:rsid w:val="00FB62DF"/>
    <w:rsid w:val="00FB7FD9"/>
    <w:rsid w:val="00FC009E"/>
    <w:rsid w:val="00FC04F3"/>
    <w:rsid w:val="00FC0936"/>
    <w:rsid w:val="00FC3199"/>
    <w:rsid w:val="00FC3FF7"/>
    <w:rsid w:val="00FC46CC"/>
    <w:rsid w:val="00FC6446"/>
    <w:rsid w:val="00FD0281"/>
    <w:rsid w:val="00FD03B5"/>
    <w:rsid w:val="00FD0DD1"/>
    <w:rsid w:val="00FD3A63"/>
    <w:rsid w:val="00FD5FBE"/>
    <w:rsid w:val="00FD7074"/>
    <w:rsid w:val="00FD7AAC"/>
    <w:rsid w:val="00FD7C74"/>
    <w:rsid w:val="00FE004E"/>
    <w:rsid w:val="00FE05FE"/>
    <w:rsid w:val="00FE1587"/>
    <w:rsid w:val="00FE464A"/>
    <w:rsid w:val="00FF1489"/>
    <w:rsid w:val="00FF2156"/>
    <w:rsid w:val="00FF2C2D"/>
    <w:rsid w:val="00FF3DF7"/>
    <w:rsid w:val="00FF5C56"/>
    <w:rsid w:val="00FF6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67B17E-1522-45DA-B686-3C0EB0F3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Puest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uiPriority w:val="99"/>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uiPriority w:val="99"/>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39"/>
    <w:rsid w:val="00D42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
    <w:name w:val="Epígrafe"/>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 w:type="paragraph" w:customStyle="1" w:styleId="msonormal0">
    <w:name w:val="msonormal"/>
    <w:basedOn w:val="Normal"/>
    <w:rsid w:val="00924C30"/>
    <w:pPr>
      <w:spacing w:before="100" w:beforeAutospacing="1" w:after="100" w:afterAutospacing="1"/>
    </w:pPr>
  </w:style>
  <w:style w:type="paragraph" w:customStyle="1" w:styleId="xl69">
    <w:name w:val="xl69"/>
    <w:basedOn w:val="Normal"/>
    <w:rsid w:val="00924C30"/>
    <w:pPr>
      <w:spacing w:before="100" w:beforeAutospacing="1" w:after="100" w:afterAutospacing="1"/>
    </w:pPr>
    <w:rPr>
      <w:sz w:val="18"/>
      <w:szCs w:val="18"/>
    </w:rPr>
  </w:style>
  <w:style w:type="paragraph" w:customStyle="1" w:styleId="xl70">
    <w:name w:val="xl70"/>
    <w:basedOn w:val="Normal"/>
    <w:rsid w:val="00924C30"/>
    <w:pPr>
      <w:pBdr>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71">
    <w:name w:val="xl71"/>
    <w:basedOn w:val="Normal"/>
    <w:rsid w:val="00924C30"/>
    <w:pPr>
      <w:spacing w:before="100" w:beforeAutospacing="1" w:after="100" w:afterAutospacing="1"/>
    </w:pPr>
    <w:rPr>
      <w:sz w:val="18"/>
      <w:szCs w:val="18"/>
    </w:rPr>
  </w:style>
  <w:style w:type="paragraph" w:customStyle="1" w:styleId="xl72">
    <w:name w:val="xl72"/>
    <w:basedOn w:val="Normal"/>
    <w:rsid w:val="00924C30"/>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3">
    <w:name w:val="xl73"/>
    <w:basedOn w:val="Normal"/>
    <w:rsid w:val="00924C30"/>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4">
    <w:name w:val="xl74"/>
    <w:basedOn w:val="Normal"/>
    <w:rsid w:val="00924C3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75">
    <w:name w:val="xl75"/>
    <w:basedOn w:val="Normal"/>
    <w:rsid w:val="00924C3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76">
    <w:name w:val="xl76"/>
    <w:basedOn w:val="Normal"/>
    <w:rsid w:val="00924C30"/>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77">
    <w:name w:val="xl77"/>
    <w:basedOn w:val="Normal"/>
    <w:rsid w:val="00924C30"/>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p0">
    <w:name w:val="p0"/>
    <w:basedOn w:val="Normal"/>
    <w:rsid w:val="00E81757"/>
    <w:pPr>
      <w:keepLines/>
      <w:spacing w:before="240"/>
      <w:jc w:val="both"/>
    </w:pPr>
    <w:rPr>
      <w:rFonts w:ascii="Arial" w:hAnsi="Arial"/>
      <w:szCs w:val="20"/>
      <w:lang w:val="es-ES_tradnl" w:eastAsia="es-ES"/>
    </w:rPr>
  </w:style>
  <w:style w:type="paragraph" w:customStyle="1" w:styleId="p02">
    <w:name w:val="p02"/>
    <w:basedOn w:val="Normal"/>
    <w:next w:val="p0"/>
    <w:rsid w:val="00E81757"/>
    <w:pPr>
      <w:keepLines/>
      <w:spacing w:before="240"/>
      <w:ind w:right="11"/>
      <w:jc w:val="both"/>
    </w:pPr>
    <w:rPr>
      <w:rFonts w:ascii="Univers" w:hAnsi="Univers"/>
      <w:color w:val="0000FF"/>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1013580188">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07264452">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D:\respaldo\sfigueroa1\Notas-calendario\ITAEE%20base%202013\2019\3er%20trim\Gr&#225;ficas_ITAEE_3er_T%20_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Contribuci&#243;n_ITAEE_3er_T_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spPr>
        <a:noFill/>
        <a:ln w="9525" cap="flat" cmpd="sng" algn="ctr">
          <a:solidFill>
            <a:schemeClr val="bg1">
              <a:lumMod val="50000"/>
            </a:schemeClr>
          </a:solidFill>
          <a:prstDash val="solid"/>
          <a:round/>
        </a:ln>
        <a:effectLst/>
        <a:sp3d contourW="9525">
          <a:contourClr>
            <a:schemeClr val="bg1">
              <a:lumMod val="50000"/>
            </a:schemeClr>
          </a:contourClr>
        </a:sp3d>
      </c:spPr>
    </c:floor>
    <c:sideWall>
      <c:thickness val="0"/>
      <c:spPr>
        <a:noFill/>
        <a:ln>
          <a:solidFill>
            <a:schemeClr val="bg1">
              <a:lumMod val="50000"/>
            </a:schemeClr>
          </a:solidFill>
        </a:ln>
        <a:effectLst/>
        <a:sp3d>
          <a:contourClr>
            <a:schemeClr val="bg1">
              <a:lumMod val="50000"/>
            </a:schemeClr>
          </a:contourClr>
        </a:sp3d>
      </c:spPr>
    </c:sideWall>
    <c:backWall>
      <c:thickness val="0"/>
      <c:spPr>
        <a:noFill/>
        <a:ln>
          <a:solidFill>
            <a:schemeClr val="bg1">
              <a:lumMod val="50000"/>
            </a:schemeClr>
          </a:solidFill>
        </a:ln>
        <a:effectLst/>
        <a:sp3d>
          <a:contourClr>
            <a:schemeClr val="bg1">
              <a:lumMod val="50000"/>
            </a:schemeClr>
          </a:contourClr>
        </a:sp3d>
      </c:spPr>
    </c:backWall>
    <c:plotArea>
      <c:layout>
        <c:manualLayout>
          <c:layoutTarget val="inner"/>
          <c:xMode val="edge"/>
          <c:yMode val="edge"/>
          <c:x val="0.38165295815295813"/>
          <c:y val="3.8766788766788768E-2"/>
          <c:w val="0.55954329004329006"/>
          <c:h val="0.90195526695526695"/>
        </c:manualLayout>
      </c:layout>
      <c:bar3DChart>
        <c:barDir val="bar"/>
        <c:grouping val="clustered"/>
        <c:varyColors val="0"/>
        <c:ser>
          <c:idx val="0"/>
          <c:order val="0"/>
          <c:tx>
            <c:v>Total</c:v>
          </c:tx>
          <c:spPr>
            <a:solidFill>
              <a:schemeClr val="accent1"/>
            </a:solidFill>
            <a:ln>
              <a:noFill/>
            </a:ln>
            <a:effectLst/>
            <a:sp3d/>
          </c:spPr>
          <c:invertIfNegative val="0"/>
          <c:dPt>
            <c:idx val="10"/>
            <c:invertIfNegative val="0"/>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01-67E9-4753-96A5-2D9CFA55F8C2}"/>
              </c:ext>
            </c:extLst>
          </c:dPt>
          <c:dPt>
            <c:idx val="11"/>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3-67E9-4753-96A5-2D9CFA55F8C2}"/>
              </c:ext>
            </c:extLst>
          </c:dPt>
          <c:dPt>
            <c:idx val="12"/>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5-67E9-4753-96A5-2D9CFA55F8C2}"/>
              </c:ext>
            </c:extLst>
          </c:dPt>
          <c:dPt>
            <c:idx val="13"/>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7-67E9-4753-96A5-2D9CFA55F8C2}"/>
              </c:ext>
            </c:extLst>
          </c:dPt>
          <c:dPt>
            <c:idx val="14"/>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9-67E9-4753-96A5-2D9CFA55F8C2}"/>
              </c:ext>
            </c:extLst>
          </c:dPt>
          <c:dPt>
            <c:idx val="15"/>
            <c:invertIfNegative val="0"/>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0B-67E9-4753-96A5-2D9CFA55F8C2}"/>
              </c:ext>
            </c:extLst>
          </c:dPt>
          <c:dPt>
            <c:idx val="16"/>
            <c:invertIfNegative val="0"/>
            <c:bubble3D val="0"/>
            <c:spPr>
              <a:solidFill>
                <a:schemeClr val="tx2">
                  <a:lumMod val="60000"/>
                  <a:lumOff val="40000"/>
                </a:schemeClr>
              </a:solidFill>
              <a:ln>
                <a:noFill/>
              </a:ln>
              <a:effectLst>
                <a:outerShdw blurRad="50800" dist="50800" dir="5400000" algn="ctr" rotWithShape="0">
                  <a:schemeClr val="accent5">
                    <a:lumMod val="20000"/>
                    <a:lumOff val="80000"/>
                  </a:schemeClr>
                </a:outerShdw>
              </a:effectLst>
              <a:sp3d/>
            </c:spPr>
            <c:extLst xmlns:c16r2="http://schemas.microsoft.com/office/drawing/2015/06/chart">
              <c:ext xmlns:c16="http://schemas.microsoft.com/office/drawing/2014/chart" uri="{C3380CC4-5D6E-409C-BE32-E72D297353CC}">
                <c16:uniqueId val="{0000000D-67E9-4753-96A5-2D9CFA55F8C2}"/>
              </c:ext>
            </c:extLst>
          </c:dPt>
          <c:dPt>
            <c:idx val="17"/>
            <c:invertIfNegative val="0"/>
            <c:bubble3D val="0"/>
            <c:spPr>
              <a:solidFill>
                <a:schemeClr val="tx2">
                  <a:lumMod val="75000"/>
                </a:schemeClr>
              </a:solidFill>
              <a:ln>
                <a:noFill/>
              </a:ln>
              <a:effectLst/>
              <a:sp3d/>
            </c:spPr>
            <c:extLst xmlns:c16r2="http://schemas.microsoft.com/office/drawing/2015/06/chart">
              <c:ext xmlns:c16="http://schemas.microsoft.com/office/drawing/2014/chart" uri="{C3380CC4-5D6E-409C-BE32-E72D297353CC}">
                <c16:uniqueId val="{0000000F-67E9-4753-96A5-2D9CFA55F8C2}"/>
              </c:ext>
            </c:extLst>
          </c:dPt>
          <c:dPt>
            <c:idx val="18"/>
            <c:invertIfNegative val="0"/>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11-67E9-4753-96A5-2D9CFA55F8C2}"/>
              </c:ext>
            </c:extLst>
          </c:dPt>
          <c:dPt>
            <c:idx val="19"/>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13-67E9-4753-96A5-2D9CFA55F8C2}"/>
              </c:ext>
            </c:extLst>
          </c:dPt>
          <c:dLbls>
            <c:dLbl>
              <c:idx val="0"/>
              <c:layout>
                <c:manualLayout>
                  <c:x val="-1.6209201168402243E-2"/>
                  <c:y val="-3.23183564797848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67E9-4753-96A5-2D9CFA55F8C2}"/>
                </c:ext>
                <c:ext xmlns:c15="http://schemas.microsoft.com/office/drawing/2012/chart" uri="{CE6537A1-D6FC-4f65-9D91-7224C49458BB}"/>
              </c:extLst>
            </c:dLbl>
            <c:dLbl>
              <c:idx val="1"/>
              <c:layout>
                <c:manualLayout>
                  <c:x val="-2.2901154401154401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67E9-4753-96A5-2D9CFA55F8C2}"/>
                </c:ext>
                <c:ext xmlns:c15="http://schemas.microsoft.com/office/drawing/2012/chart" uri="{CE6537A1-D6FC-4f65-9D91-7224C49458BB}"/>
              </c:extLst>
            </c:dLbl>
            <c:dLbl>
              <c:idx val="2"/>
              <c:layout>
                <c:manualLayout>
                  <c:x val="-2.436539560579112E-2"/>
                  <c:y val="-2.017952667009022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67E9-4753-96A5-2D9CFA55F8C2}"/>
                </c:ext>
                <c:ext xmlns:c15="http://schemas.microsoft.com/office/drawing/2012/chart" uri="{CE6537A1-D6FC-4f65-9D91-7224C49458BB}"/>
              </c:extLst>
            </c:dLbl>
            <c:dLbl>
              <c:idx val="3"/>
              <c:layout>
                <c:manualLayout>
                  <c:x val="-2.4827359029718058E-2"/>
                  <c:y val="-2.719791270799128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67E9-4753-96A5-2D9CFA55F8C2}"/>
                </c:ext>
                <c:ext xmlns:c15="http://schemas.microsoft.com/office/drawing/2012/chart" uri="{CE6537A1-D6FC-4f65-9D91-7224C49458BB}"/>
              </c:extLst>
            </c:dLbl>
            <c:dLbl>
              <c:idx val="4"/>
              <c:layout>
                <c:manualLayout>
                  <c:x val="-1.9786639573279148E-2"/>
                  <c:y val="-2.719791270799128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67E9-4753-96A5-2D9CFA55F8C2}"/>
                </c:ext>
                <c:ext xmlns:c15="http://schemas.microsoft.com/office/drawing/2012/chart" uri="{CE6537A1-D6FC-4f65-9D91-7224C49458BB}"/>
              </c:extLst>
            </c:dLbl>
            <c:dLbl>
              <c:idx val="5"/>
              <c:layout>
                <c:manualLayout>
                  <c:x val="-2.2902511430022861E-2"/>
                  <c:y val="-4.226144043594889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67E9-4753-96A5-2D9CFA55F8C2}"/>
                </c:ext>
                <c:ext xmlns:c15="http://schemas.microsoft.com/office/drawing/2012/chart" uri="{CE6537A1-D6FC-4f65-9D91-7224C49458BB}"/>
              </c:extLst>
            </c:dLbl>
            <c:dLbl>
              <c:idx val="6"/>
              <c:layout>
                <c:manualLayout>
                  <c:x val="-2.2899350649350565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67E9-4753-96A5-2D9CFA55F8C2}"/>
                </c:ext>
                <c:ext xmlns:c15="http://schemas.microsoft.com/office/drawing/2012/chart" uri="{CE6537A1-D6FC-4f65-9D91-7224C49458BB}"/>
              </c:extLst>
            </c:dLbl>
            <c:dLbl>
              <c:idx val="7"/>
              <c:layout>
                <c:manualLayout>
                  <c:x val="-3.3896764668529339E-2"/>
                  <c:y val="-7.0183860379010622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67E9-4753-96A5-2D9CFA55F8C2}"/>
                </c:ext>
                <c:ext xmlns:c15="http://schemas.microsoft.com/office/drawing/2012/chart" uri="{CE6537A1-D6FC-4f65-9D91-7224C49458BB}">
                  <c15:layout>
                    <c:manualLayout>
                      <c:w val="0.10232864357864357"/>
                      <c:h val="3.1348373848373849E-2"/>
                    </c:manualLayout>
                  </c15:layout>
                </c:ext>
              </c:extLst>
            </c:dLbl>
            <c:dLbl>
              <c:idx val="8"/>
              <c:layout>
                <c:manualLayout>
                  <c:x val="-2.290620490620482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67E9-4753-96A5-2D9CFA55F8C2}"/>
                </c:ext>
                <c:ext xmlns:c15="http://schemas.microsoft.com/office/drawing/2012/chart" uri="{CE6537A1-D6FC-4f65-9D91-7224C49458BB}"/>
              </c:extLst>
            </c:dLbl>
            <c:dLbl>
              <c:idx val="9"/>
              <c:layout>
                <c:manualLayout>
                  <c:x val="-2.290656565656565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67E9-4753-96A5-2D9CFA55F8C2}"/>
                </c:ext>
                <c:ext xmlns:c15="http://schemas.microsoft.com/office/drawing/2012/chart" uri="{CE6537A1-D6FC-4f65-9D91-7224C49458BB}"/>
              </c:extLst>
            </c:dLbl>
            <c:dLbl>
              <c:idx val="10"/>
              <c:layout>
                <c:manualLayout>
                  <c:x val="-3.3900336550673101E-2"/>
                  <c:y val="-3.524083198321632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7E9-4753-96A5-2D9CFA55F8C2}"/>
                </c:ext>
                <c:ext xmlns:c15="http://schemas.microsoft.com/office/drawing/2012/chart" uri="{CE6537A1-D6FC-4f65-9D91-7224C49458BB}">
                  <c15:layout>
                    <c:manualLayout>
                      <c:w val="0.10691017316017316"/>
                      <c:h val="3.487262737262737E-2"/>
                    </c:manualLayout>
                  </c15:layout>
                </c:ext>
              </c:extLst>
            </c:dLbl>
            <c:dLbl>
              <c:idx val="11"/>
              <c:layout>
                <c:manualLayout>
                  <c:x val="-2.290620490620490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7E9-4753-96A5-2D9CFA55F8C2}"/>
                </c:ext>
                <c:ext xmlns:c15="http://schemas.microsoft.com/office/drawing/2012/chart" uri="{CE6537A1-D6FC-4f65-9D91-7224C49458BB}"/>
              </c:extLst>
            </c:dLbl>
            <c:dLbl>
              <c:idx val="12"/>
              <c:layout>
                <c:manualLayout>
                  <c:x val="-2.2906204906204906E-2"/>
                  <c:y val="-3.52425352425358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7E9-4753-96A5-2D9CFA55F8C2}"/>
                </c:ext>
                <c:ext xmlns:c15="http://schemas.microsoft.com/office/drawing/2012/chart" uri="{CE6537A1-D6FC-4f65-9D91-7224C49458BB}"/>
              </c:extLst>
            </c:dLbl>
            <c:dLbl>
              <c:idx val="13"/>
              <c:layout>
                <c:manualLayout>
                  <c:x val="-2.2906877063754126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7E9-4753-96A5-2D9CFA55F8C2}"/>
                </c:ext>
                <c:ext xmlns:c15="http://schemas.microsoft.com/office/drawing/2012/chart" uri="{CE6537A1-D6FC-4f65-9D91-7224C49458BB}"/>
              </c:extLst>
            </c:dLbl>
            <c:dLbl>
              <c:idx val="14"/>
              <c:layout>
                <c:manualLayout>
                  <c:x val="-1.7865363855727713E-2"/>
                  <c:y val="-7.0183860379010622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7E9-4753-96A5-2D9CFA55F8C2}"/>
                </c:ext>
                <c:ext xmlns:c15="http://schemas.microsoft.com/office/drawing/2012/chart" uri="{CE6537A1-D6FC-4f65-9D91-7224C49458BB}"/>
              </c:extLst>
            </c:dLbl>
            <c:dLbl>
              <c:idx val="15"/>
              <c:layout>
                <c:manualLayout>
                  <c:x val="-1.7863776352552704E-2"/>
                  <c:y val="-7.0183860379010622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67E9-4753-96A5-2D9CFA55F8C2}"/>
                </c:ext>
                <c:ext xmlns:c15="http://schemas.microsoft.com/office/drawing/2012/chart" uri="{CE6537A1-D6FC-4f65-9D91-7224C49458BB}"/>
              </c:extLst>
            </c:dLbl>
            <c:dLbl>
              <c:idx val="16"/>
              <c:layout>
                <c:manualLayout>
                  <c:x val="-1.7866157607315122E-2"/>
                  <c:y val="-7.0183860379010622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67E9-4753-96A5-2D9CFA55F8C2}"/>
                </c:ext>
                <c:ext xmlns:c15="http://schemas.microsoft.com/office/drawing/2012/chart" uri="{CE6537A1-D6FC-4f65-9D91-7224C49458BB}"/>
              </c:extLst>
            </c:dLbl>
            <c:dLbl>
              <c:idx val="17"/>
              <c:layout>
                <c:manualLayout>
                  <c:x val="-1.832467532467524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67E9-4753-96A5-2D9CFA55F8C2}"/>
                </c:ext>
                <c:ext xmlns:c15="http://schemas.microsoft.com/office/drawing/2012/chart" uri="{CE6537A1-D6FC-4f65-9D91-7224C49458BB}"/>
              </c:extLst>
            </c:dLbl>
            <c:dLbl>
              <c:idx val="18"/>
              <c:layout>
                <c:manualLayout>
                  <c:x val="-1.8325757575757658E-2"/>
                  <c:y val="-3.52425352425358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67E9-4753-96A5-2D9CFA55F8C2}"/>
                </c:ext>
                <c:ext xmlns:c15="http://schemas.microsoft.com/office/drawing/2012/chart" uri="{CE6537A1-D6FC-4f65-9D91-7224C49458BB}"/>
              </c:extLst>
            </c:dLbl>
            <c:dLbl>
              <c:idx val="19"/>
              <c:layout>
                <c:manualLayout>
                  <c:x val="-1.3285814071628236E-2"/>
                  <c:y val="-3.52430543980478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67E9-4753-96A5-2D9CFA55F8C2}"/>
                </c:ext>
                <c:ext xmlns:c15="http://schemas.microsoft.com/office/drawing/2012/chart" uri="{CE6537A1-D6FC-4f65-9D91-7224C49458BB}"/>
              </c:extLst>
            </c:dLbl>
            <c:dLbl>
              <c:idx val="20"/>
              <c:layout>
                <c:manualLayout>
                  <c:x val="-1.3285814071628236E-2"/>
                  <c:y val="-3.524305439804834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67E9-4753-96A5-2D9CFA55F8C2}"/>
                </c:ext>
                <c:ext xmlns:c15="http://schemas.microsoft.com/office/drawing/2012/chart" uri="{CE6537A1-D6FC-4f65-9D91-7224C49458BB}"/>
              </c:extLst>
            </c:dLbl>
            <c:dLbl>
              <c:idx val="21"/>
              <c:layout>
                <c:manualLayout>
                  <c:x val="-1.3285814071628051E-2"/>
                  <c:y val="-7.0183860379010622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67E9-4753-96A5-2D9CFA55F8C2}"/>
                </c:ext>
                <c:ext xmlns:c15="http://schemas.microsoft.com/office/drawing/2012/chart" uri="{CE6537A1-D6FC-4f65-9D91-7224C49458BB}"/>
              </c:extLst>
            </c:dLbl>
            <c:dLbl>
              <c:idx val="22"/>
              <c:layout>
                <c:manualLayout>
                  <c:x val="-1.8326118326118326E-2"/>
                  <c:y val="-3.52425352425358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67E9-4753-96A5-2D9CFA55F8C2}"/>
                </c:ext>
                <c:ext xmlns:c15="http://schemas.microsoft.com/office/drawing/2012/chart" uri="{CE6537A1-D6FC-4f65-9D91-7224C49458BB}"/>
              </c:extLst>
            </c:dLbl>
            <c:dLbl>
              <c:idx val="23"/>
              <c:layout>
                <c:manualLayout>
                  <c:x val="-1.8326118326118409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67E9-4753-96A5-2D9CFA55F8C2}"/>
                </c:ext>
                <c:ext xmlns:c15="http://schemas.microsoft.com/office/drawing/2012/chart" uri="{CE6537A1-D6FC-4f65-9D91-7224C49458BB}"/>
              </c:extLst>
            </c:dLbl>
            <c:dLbl>
              <c:idx val="24"/>
              <c:layout>
                <c:manualLayout>
                  <c:x val="-1.8326118326118326E-2"/>
                  <c:y val="-3.524253524253556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2-67E9-4753-96A5-2D9CFA55F8C2}"/>
                </c:ext>
                <c:ext xmlns:c15="http://schemas.microsoft.com/office/drawing/2012/chart" uri="{CE6537A1-D6FC-4f65-9D91-7224C49458BB}"/>
              </c:extLst>
            </c:dLbl>
            <c:dLbl>
              <c:idx val="25"/>
              <c:layout>
                <c:manualLayout>
                  <c:x val="-1.832611832611849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3-67E9-4753-96A5-2D9CFA55F8C2}"/>
                </c:ext>
                <c:ext xmlns:c15="http://schemas.microsoft.com/office/drawing/2012/chart" uri="{CE6537A1-D6FC-4f65-9D91-7224C49458BB}"/>
              </c:extLst>
            </c:dLbl>
            <c:dLbl>
              <c:idx val="26"/>
              <c:layout>
                <c:manualLayout>
                  <c:x val="-1.832611832611832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4-67E9-4753-96A5-2D9CFA55F8C2}"/>
                </c:ext>
                <c:ext xmlns:c15="http://schemas.microsoft.com/office/drawing/2012/chart" uri="{CE6537A1-D6FC-4f65-9D91-7224C49458BB}"/>
              </c:extLst>
            </c:dLbl>
            <c:dLbl>
              <c:idx val="27"/>
              <c:layout>
                <c:manualLayout>
                  <c:x val="-1.832611832611849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5-67E9-4753-96A5-2D9CFA55F8C2}"/>
                </c:ext>
                <c:ext xmlns:c15="http://schemas.microsoft.com/office/drawing/2012/chart" uri="{CE6537A1-D6FC-4f65-9D91-7224C49458BB}"/>
              </c:extLst>
            </c:dLbl>
            <c:dLbl>
              <c:idx val="28"/>
              <c:layout>
                <c:manualLayout>
                  <c:x val="-1.3285814071628143E-2"/>
                  <c:y val="-3.52430543980480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6-67E9-4753-96A5-2D9CFA55F8C2}"/>
                </c:ext>
                <c:ext xmlns:c15="http://schemas.microsoft.com/office/drawing/2012/chart" uri="{CE6537A1-D6FC-4f65-9D91-7224C49458BB}"/>
              </c:extLst>
            </c:dLbl>
            <c:dLbl>
              <c:idx val="29"/>
              <c:layout>
                <c:manualLayout>
                  <c:x val="-1.3285814071628236E-2"/>
                  <c:y val="-3.52430543980480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7-67E9-4753-96A5-2D9CFA55F8C2}"/>
                </c:ext>
                <c:ext xmlns:c15="http://schemas.microsoft.com/office/drawing/2012/chart" uri="{CE6537A1-D6FC-4f65-9D91-7224C49458BB}"/>
              </c:extLst>
            </c:dLbl>
            <c:dLbl>
              <c:idx val="30"/>
              <c:layout>
                <c:manualLayout>
                  <c:x val="-1.3285814071628143E-2"/>
                  <c:y val="-3.52430543980478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8-67E9-4753-96A5-2D9CFA55F8C2}"/>
                </c:ext>
                <c:ext xmlns:c15="http://schemas.microsoft.com/office/drawing/2012/chart" uri="{CE6537A1-D6FC-4f65-9D91-7224C49458BB}"/>
              </c:extLst>
            </c:dLbl>
            <c:dLbl>
              <c:idx val="31"/>
              <c:layout>
                <c:manualLayout>
                  <c:x val="-1.3285814071628236E-2"/>
                  <c:y val="-3.52430543980478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9-67E9-4753-96A5-2D9CFA55F8C2}"/>
                </c:ext>
                <c:ext xmlns:c15="http://schemas.microsoft.com/office/drawing/2012/chart" uri="{CE6537A1-D6FC-4f65-9D91-7224C49458BB}"/>
              </c:extLst>
            </c:dLbl>
            <c:dLbl>
              <c:idx val="32"/>
              <c:layout>
                <c:manualLayout>
                  <c:x val="-1.3285814071628143E-2"/>
                  <c:y val="-2.018174908492069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A-67E9-4753-96A5-2D9CFA55F8C2}"/>
                </c:ext>
                <c:ext xmlns:c15="http://schemas.microsoft.com/office/drawing/2012/chart" uri="{CE6537A1-D6FC-4f65-9D91-7224C49458BB}"/>
              </c:extLst>
            </c:dLbl>
            <c:numFmt formatCode="#,##0.0" sourceLinked="0"/>
            <c:spPr>
              <a:noFill/>
              <a:ln>
                <a:noFill/>
              </a:ln>
              <a:effectLst/>
            </c:spPr>
            <c:txPr>
              <a:bodyPr rot="0" spcFirstLastPara="1" vertOverflow="ellipsis" vert="horz" wrap="square" anchor="ctr" anchorCtr="1"/>
              <a:lstStyle/>
              <a:p>
                <a:pPr>
                  <a:defRPr sz="600" b="0" i="0" u="none" strike="noStrike" kern="1200" baseline="0">
                    <a:solidFill>
                      <a:schemeClr val="tx1"/>
                    </a:solidFill>
                    <a:latin typeface="Arial" pitchFamily="34" charset="0"/>
                    <a:ea typeface="+mn-ea"/>
                    <a:cs typeface="Arial" pitchFamily="34"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'Variaciones por EF'!$B$6:$B$38</c:f>
              <c:strCache>
                <c:ptCount val="33"/>
                <c:pt idx="0">
                  <c:v>Baja California Sur</c:v>
                </c:pt>
                <c:pt idx="1">
                  <c:v>Tabasco</c:v>
                </c:pt>
                <c:pt idx="2">
                  <c:v>Chiapas</c:v>
                </c:pt>
                <c:pt idx="3">
                  <c:v>Nayarit</c:v>
                </c:pt>
                <c:pt idx="4">
                  <c:v>Zacatecas</c:v>
                </c:pt>
                <c:pt idx="5">
                  <c:v>Quintana Roo</c:v>
                </c:pt>
                <c:pt idx="6">
                  <c:v>México</c:v>
                </c:pt>
                <c:pt idx="7">
                  <c:v>Morelos</c:v>
                </c:pt>
                <c:pt idx="8">
                  <c:v>Oaxaca</c:v>
                </c:pt>
                <c:pt idx="9">
                  <c:v>Campeche</c:v>
                </c:pt>
                <c:pt idx="10">
                  <c:v>Hidalgo</c:v>
                </c:pt>
                <c:pt idx="11">
                  <c:v>Puebla</c:v>
                </c:pt>
                <c:pt idx="12">
                  <c:v>Guerrero</c:v>
                </c:pt>
                <c:pt idx="13">
                  <c:v>Ciudad de México</c:v>
                </c:pt>
                <c:pt idx="14">
                  <c:v>Querétaro</c:v>
                </c:pt>
                <c:pt idx="15">
                  <c:v>Veracruz de Ignacio de la Llave</c:v>
                </c:pt>
                <c:pt idx="16">
                  <c:v>Aguascalientes</c:v>
                </c:pt>
                <c:pt idx="17">
                  <c:v>Nacional</c:v>
                </c:pt>
                <c:pt idx="18">
                  <c:v>San Luis Potosí</c:v>
                </c:pt>
                <c:pt idx="19">
                  <c:v>Jalisco</c:v>
                </c:pt>
                <c:pt idx="20">
                  <c:v>Guanajuato</c:v>
                </c:pt>
                <c:pt idx="21">
                  <c:v>Durango</c:v>
                </c:pt>
                <c:pt idx="22">
                  <c:v>Sonora</c:v>
                </c:pt>
                <c:pt idx="23">
                  <c:v>Yucatán</c:v>
                </c:pt>
                <c:pt idx="24">
                  <c:v>Michoacán de Ocampo</c:v>
                </c:pt>
                <c:pt idx="25">
                  <c:v>Tamaulipas</c:v>
                </c:pt>
                <c:pt idx="26">
                  <c:v>Chihuahua</c:v>
                </c:pt>
                <c:pt idx="27">
                  <c:v>Nuevo León</c:v>
                </c:pt>
                <c:pt idx="28">
                  <c:v>Sinaloa</c:v>
                </c:pt>
                <c:pt idx="29">
                  <c:v>Baja California</c:v>
                </c:pt>
                <c:pt idx="30">
                  <c:v>Coahuila de Zaragoza</c:v>
                </c:pt>
                <c:pt idx="31">
                  <c:v>Colima</c:v>
                </c:pt>
                <c:pt idx="32">
                  <c:v>Tlaxcala</c:v>
                </c:pt>
              </c:strCache>
            </c:strRef>
          </c:cat>
          <c:val>
            <c:numRef>
              <c:f>'Variaciones por EF'!$C$6:$C$38</c:f>
              <c:numCache>
                <c:formatCode>0.0</c:formatCode>
                <c:ptCount val="33"/>
                <c:pt idx="0">
                  <c:v>-9.3947357941395353</c:v>
                </c:pt>
                <c:pt idx="1">
                  <c:v>-3.930839174145234</c:v>
                </c:pt>
                <c:pt idx="2">
                  <c:v>-3.3120327233831972</c:v>
                </c:pt>
                <c:pt idx="3">
                  <c:v>-3.1516057314803305</c:v>
                </c:pt>
                <c:pt idx="4">
                  <c:v>-2.8952784870606223</c:v>
                </c:pt>
                <c:pt idx="5">
                  <c:v>-2.8908728091479361</c:v>
                </c:pt>
                <c:pt idx="6">
                  <c:v>-2.5215270170034358</c:v>
                </c:pt>
                <c:pt idx="7">
                  <c:v>-2.5013624567679784</c:v>
                </c:pt>
                <c:pt idx="8">
                  <c:v>-2.4701466364876978</c:v>
                </c:pt>
                <c:pt idx="9">
                  <c:v>-2.2057078342197656</c:v>
                </c:pt>
                <c:pt idx="10">
                  <c:v>-1.2836131306091687</c:v>
                </c:pt>
                <c:pt idx="11">
                  <c:v>-1.280743276382708</c:v>
                </c:pt>
                <c:pt idx="12">
                  <c:v>-1.1305184119338065</c:v>
                </c:pt>
                <c:pt idx="13">
                  <c:v>-0.74543349526304326</c:v>
                </c:pt>
                <c:pt idx="14">
                  <c:v>-0.60815833687841803</c:v>
                </c:pt>
                <c:pt idx="15">
                  <c:v>-0.57533808298029498</c:v>
                </c:pt>
                <c:pt idx="16">
                  <c:v>-0.55838260622910241</c:v>
                </c:pt>
                <c:pt idx="17">
                  <c:v>-0.25451488374213199</c:v>
                </c:pt>
                <c:pt idx="18">
                  <c:v>2.827989950844767E-2</c:v>
                </c:pt>
                <c:pt idx="19">
                  <c:v>0.24029360717179316</c:v>
                </c:pt>
                <c:pt idx="20">
                  <c:v>0.33878189460531871</c:v>
                </c:pt>
                <c:pt idx="21">
                  <c:v>0.71126408712399325</c:v>
                </c:pt>
                <c:pt idx="22">
                  <c:v>1.1314775993015047</c:v>
                </c:pt>
                <c:pt idx="23">
                  <c:v>1.1540752489598987</c:v>
                </c:pt>
                <c:pt idx="24">
                  <c:v>1.5375081963032784</c:v>
                </c:pt>
                <c:pt idx="25">
                  <c:v>1.7682034032550291</c:v>
                </c:pt>
                <c:pt idx="26">
                  <c:v>1.8410829642736815</c:v>
                </c:pt>
                <c:pt idx="27">
                  <c:v>1.9008740668626132</c:v>
                </c:pt>
                <c:pt idx="28">
                  <c:v>2.1186590875227154</c:v>
                </c:pt>
                <c:pt idx="29">
                  <c:v>2.3431263770803241</c:v>
                </c:pt>
                <c:pt idx="30">
                  <c:v>2.8355972191879744</c:v>
                </c:pt>
                <c:pt idx="31">
                  <c:v>4.8775268821079152</c:v>
                </c:pt>
                <c:pt idx="32">
                  <c:v>13.767655766905847</c:v>
                </c:pt>
              </c:numCache>
            </c:numRef>
          </c:val>
          <c:extLst xmlns:c16r2="http://schemas.microsoft.com/office/drawing/2015/06/chart">
            <c:ext xmlns:c16="http://schemas.microsoft.com/office/drawing/2014/chart" uri="{C3380CC4-5D6E-409C-BE32-E72D297353CC}">
              <c16:uniqueId val="{0000002B-67E9-4753-96A5-2D9CFA55F8C2}"/>
            </c:ext>
          </c:extLst>
        </c:ser>
        <c:dLbls>
          <c:showLegendKey val="0"/>
          <c:showVal val="0"/>
          <c:showCatName val="0"/>
          <c:showSerName val="0"/>
          <c:showPercent val="0"/>
          <c:showBubbleSize val="0"/>
        </c:dLbls>
        <c:gapWidth val="50"/>
        <c:shape val="cylinder"/>
        <c:axId val="-544329072"/>
        <c:axId val="-544302960"/>
        <c:axId val="0"/>
      </c:bar3DChart>
      <c:catAx>
        <c:axId val="-544329072"/>
        <c:scaling>
          <c:orientation val="minMax"/>
        </c:scaling>
        <c:delete val="0"/>
        <c:axPos val="l"/>
        <c:numFmt formatCode="General" sourceLinked="0"/>
        <c:majorTickMark val="out"/>
        <c:minorTickMark val="none"/>
        <c:tickLblPos val="low"/>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550" b="0" i="0" u="none" strike="noStrike" kern="1200" baseline="0">
                <a:solidFill>
                  <a:schemeClr val="tx1"/>
                </a:solidFill>
                <a:latin typeface="Arial" pitchFamily="34" charset="0"/>
                <a:ea typeface="+mn-ea"/>
                <a:cs typeface="Arial" pitchFamily="34" charset="0"/>
              </a:defRPr>
            </a:pPr>
            <a:endParaRPr lang="es-MX"/>
          </a:p>
        </c:txPr>
        <c:crossAx val="-544302960"/>
        <c:crossesAt val="0"/>
        <c:auto val="1"/>
        <c:lblAlgn val="ctr"/>
        <c:lblOffset val="100"/>
        <c:noMultiLvlLbl val="0"/>
      </c:catAx>
      <c:valAx>
        <c:axId val="-544302960"/>
        <c:scaling>
          <c:orientation val="minMax"/>
          <c:max val="20"/>
          <c:min val="-18"/>
        </c:scaling>
        <c:delete val="0"/>
        <c:axPos val="b"/>
        <c:numFmt formatCode="#,##0.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600" b="0" i="0" u="none" strike="noStrike" kern="1200" baseline="0">
                <a:solidFill>
                  <a:schemeClr val="tx1"/>
                </a:solidFill>
                <a:latin typeface="Arial" pitchFamily="34" charset="0"/>
                <a:ea typeface="+mn-ea"/>
                <a:cs typeface="Arial" pitchFamily="34" charset="0"/>
              </a:defRPr>
            </a:pPr>
            <a:endParaRPr lang="es-MX"/>
          </a:p>
        </c:txPr>
        <c:crossAx val="-544329072"/>
        <c:crosses val="autoZero"/>
        <c:crossBetween val="between"/>
        <c:majorUnit val="9"/>
        <c:minorUnit val="1"/>
      </c:valAx>
      <c:spPr>
        <a:noFill/>
        <a:ln>
          <a:noFill/>
        </a:ln>
        <a:effectLst>
          <a:outerShdw blurRad="50800" dist="12700" dir="5400000" algn="ctr" rotWithShape="0">
            <a:schemeClr val="bg1"/>
          </a:outerShdw>
        </a:effectLst>
      </c:spPr>
    </c:plotArea>
    <c:plotVisOnly val="1"/>
    <c:dispBlanksAs val="gap"/>
    <c:showDLblsOverMax val="0"/>
  </c:chart>
  <c:spPr>
    <a:noFill/>
    <a:ln w="9525" cap="flat" cmpd="sng" algn="ctr">
      <a:solidFill>
        <a:schemeClr val="tx1">
          <a:tint val="75000"/>
          <a:shade val="95000"/>
          <a:satMod val="105000"/>
        </a:schemeClr>
      </a:solidFill>
      <a:prstDash val="solid"/>
      <a:round/>
    </a:ln>
    <a:effectLst>
      <a:outerShdw blurRad="50800" dist="12700" dir="5400000" algn="ctr" rotWithShape="0">
        <a:schemeClr val="tx1"/>
      </a:outerShdw>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prstClr val="black"/>
          </a:solidFill>
        </a:ln>
      </c:spPr>
    </c:floor>
    <c:sideWall>
      <c:thickness val="0"/>
      <c:spPr>
        <a:ln>
          <a:solidFill>
            <a:schemeClr val="tx1"/>
          </a:solidFill>
        </a:ln>
      </c:spPr>
    </c:sideWall>
    <c:backWall>
      <c:thickness val="0"/>
      <c:spPr>
        <a:ln>
          <a:solidFill>
            <a:schemeClr val="tx1"/>
          </a:solidFill>
        </a:ln>
      </c:spPr>
    </c:backWall>
    <c:plotArea>
      <c:layout>
        <c:manualLayout>
          <c:layoutTarget val="inner"/>
          <c:xMode val="edge"/>
          <c:yMode val="edge"/>
          <c:x val="0.41955436759022596"/>
          <c:y val="2.6833881158589302E-2"/>
          <c:w val="0.7110656007115187"/>
          <c:h val="0.90685324011126556"/>
        </c:manualLayout>
      </c:layout>
      <c:bar3DChart>
        <c:barDir val="bar"/>
        <c:grouping val="stacked"/>
        <c:varyColors val="0"/>
        <c:ser>
          <c:idx val="0"/>
          <c:order val="0"/>
          <c:invertIfNegative val="0"/>
          <c:dLbls>
            <c:dLbl>
              <c:idx val="0"/>
              <c:layout>
                <c:manualLayout>
                  <c:x val="-0.12216017316017316"/>
                  <c:y val="4.053169053169053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D99-413B-834A-5401D5C5390F}"/>
                </c:ext>
                <c:ext xmlns:c15="http://schemas.microsoft.com/office/drawing/2012/chart" uri="{CE6537A1-D6FC-4f65-9D91-7224C49458BB}"/>
              </c:extLst>
            </c:dLbl>
            <c:dLbl>
              <c:idx val="1"/>
              <c:layout>
                <c:manualLayout>
                  <c:x val="-8.7351010101010179E-2"/>
                  <c:y val="4.049839049839049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D99-413B-834A-5401D5C5390F}"/>
                </c:ext>
                <c:ext xmlns:c15="http://schemas.microsoft.com/office/drawing/2012/chart" uri="{CE6537A1-D6FC-4f65-9D91-7224C49458BB}"/>
              </c:extLst>
            </c:dLbl>
            <c:dLbl>
              <c:idx val="2"/>
              <c:layout>
                <c:manualLayout>
                  <c:x val="-7.3793650793650883E-2"/>
                  <c:y val="4.049561549561549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5D4-4A71-BF1E-3D3EB53B4CFA}"/>
                </c:ext>
                <c:ext xmlns:c15="http://schemas.microsoft.com/office/drawing/2012/chart" uri="{CE6537A1-D6FC-4f65-9D91-7224C49458BB}"/>
              </c:extLst>
            </c:dLbl>
            <c:dLbl>
              <c:idx val="3"/>
              <c:layout>
                <c:manualLayout>
                  <c:x val="-7.1053722162845986E-2"/>
                  <c:y val="2.734236967203927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D99-413B-834A-5401D5C5390F}"/>
                </c:ext>
                <c:ext xmlns:c15="http://schemas.microsoft.com/office/drawing/2012/chart" uri="{CE6537A1-D6FC-4f65-9D91-7224C49458BB}"/>
              </c:extLst>
            </c:dLbl>
            <c:dLbl>
              <c:idx val="4"/>
              <c:layout>
                <c:manualLayout>
                  <c:x val="-5.9333316148374927E-2"/>
                  <c:y val="5.715606463671295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D99-413B-834A-5401D5C5390F}"/>
                </c:ext>
                <c:ext xmlns:c15="http://schemas.microsoft.com/office/drawing/2012/chart" uri="{CE6537A1-D6FC-4f65-9D91-7224C49458BB}">
                  <c15:layout>
                    <c:manualLayout>
                      <c:w val="0.11026477394178662"/>
                      <c:h val="2.852580556981605E-2"/>
                    </c:manualLayout>
                  </c15:layout>
                </c:ext>
              </c:extLst>
            </c:dLbl>
            <c:dLbl>
              <c:idx val="5"/>
              <c:layout>
                <c:manualLayout>
                  <c:x val="-5.6591588227246054E-2"/>
                  <c:y val="2.985147601680931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D82-49A3-9C71-EC84CB9A41E6}"/>
                </c:ext>
                <c:ext xmlns:c15="http://schemas.microsoft.com/office/drawing/2012/chart" uri="{CE6537A1-D6FC-4f65-9D91-7224C49458BB}">
                  <c15:layout>
                    <c:manualLayout>
                      <c:w val="0.10844480519480519"/>
                      <c:h val="3.1348373848373849E-2"/>
                    </c:manualLayout>
                  </c15:layout>
                </c:ext>
              </c:extLst>
            </c:dLbl>
            <c:dLbl>
              <c:idx val="6"/>
              <c:layout>
                <c:manualLayout>
                  <c:x val="-5.9842916261002507E-2"/>
                  <c:y val="2.728236447158753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D99-413B-834A-5401D5C5390F}"/>
                </c:ext>
                <c:ext xmlns:c15="http://schemas.microsoft.com/office/drawing/2012/chart" uri="{CE6537A1-D6FC-4f65-9D91-7224C49458BB}"/>
              </c:extLst>
            </c:dLbl>
            <c:dLbl>
              <c:idx val="7"/>
              <c:layout>
                <c:manualLayout>
                  <c:x val="-5.8192367102437643E-2"/>
                  <c:y val="1.412789108389393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D99-413B-834A-5401D5C5390F}"/>
                </c:ext>
                <c:ext xmlns:c15="http://schemas.microsoft.com/office/drawing/2012/chart" uri="{CE6537A1-D6FC-4f65-9D91-7224C49458BB}"/>
              </c:extLst>
            </c:dLbl>
            <c:dLbl>
              <c:idx val="8"/>
              <c:layout>
                <c:manualLayout>
                  <c:x val="-5.2702962620732596E-2"/>
                  <c:y val="1.412566866906243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BD99-413B-834A-5401D5C5390F}"/>
                </c:ext>
                <c:ext xmlns:c15="http://schemas.microsoft.com/office/drawing/2012/chart" uri="{CE6537A1-D6FC-4f65-9D91-7224C49458BB}">
                  <c15:layout>
                    <c:manualLayout>
                      <c:w val="0.10386327561327562"/>
                      <c:h val="3.487262737262737E-2"/>
                    </c:manualLayout>
                  </c15:layout>
                </c:ext>
              </c:extLst>
            </c:dLbl>
            <c:dLbl>
              <c:idx val="9"/>
              <c:layout>
                <c:manualLayout>
                  <c:x val="-5.2083333333333336E-2"/>
                  <c:y val="5.03385503385503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BD99-413B-834A-5401D5C5390F}"/>
                </c:ext>
                <c:ext xmlns:c15="http://schemas.microsoft.com/office/drawing/2012/chart" uri="{CE6537A1-D6FC-4f65-9D91-7224C49458BB}"/>
              </c:extLst>
            </c:dLbl>
            <c:dLbl>
              <c:idx val="10"/>
              <c:layout>
                <c:manualLayout>
                  <c:x val="-4.915295815295815E-2"/>
                  <c:y val="5.032190032190161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BD99-413B-834A-5401D5C5390F}"/>
                </c:ext>
                <c:ext xmlns:c15="http://schemas.microsoft.com/office/drawing/2012/chart" uri="{CE6537A1-D6FC-4f65-9D91-7224C49458BB}"/>
              </c:extLst>
            </c:dLbl>
            <c:dLbl>
              <c:idx val="11"/>
              <c:layout>
                <c:manualLayout>
                  <c:x val="-4.9152597402597406E-2"/>
                  <c:y val="3.5253635253635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BD99-413B-834A-5401D5C5390F}"/>
                </c:ext>
                <c:ext xmlns:c15="http://schemas.microsoft.com/office/drawing/2012/chart" uri="{CE6537A1-D6FC-4f65-9D91-7224C49458BB}"/>
              </c:extLst>
            </c:dLbl>
            <c:dLbl>
              <c:idx val="12"/>
              <c:layout>
                <c:manualLayout>
                  <c:x val="-4.7690115440115442E-2"/>
                  <c:y val="5.030247530247530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BD99-413B-834A-5401D5C5390F}"/>
                </c:ext>
                <c:ext xmlns:c15="http://schemas.microsoft.com/office/drawing/2012/chart" uri="{CE6537A1-D6FC-4f65-9D91-7224C49458BB}"/>
              </c:extLst>
            </c:dLbl>
            <c:dLbl>
              <c:idx val="13"/>
              <c:layout>
                <c:manualLayout>
                  <c:x val="-4.4760101010101097E-2"/>
                  <c:y val="3.524808524808589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5D4-4A71-BF1E-3D3EB53B4CFA}"/>
                </c:ext>
                <c:ext xmlns:c15="http://schemas.microsoft.com/office/drawing/2012/chart" uri="{CE6537A1-D6FC-4f65-9D91-7224C49458BB}"/>
              </c:extLst>
            </c:dLbl>
            <c:dLbl>
              <c:idx val="14"/>
              <c:layout>
                <c:manualLayout>
                  <c:x val="-4.7239335576631458E-2"/>
                  <c:y val="3.525416647220640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BD99-413B-834A-5401D5C5390F}"/>
                </c:ext>
                <c:ext xmlns:c15="http://schemas.microsoft.com/office/drawing/2012/chart" uri="{CE6537A1-D6FC-4f65-9D91-7224C49458BB}"/>
              </c:extLst>
            </c:dLbl>
            <c:dLbl>
              <c:idx val="15"/>
              <c:layout>
                <c:manualLayout>
                  <c:x val="-4.4313794696589644E-2"/>
                  <c:y val="5.543369314229559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BD99-413B-834A-5401D5C5390F}"/>
                </c:ext>
                <c:ext xmlns:c15="http://schemas.microsoft.com/office/drawing/2012/chart" uri="{CE6537A1-D6FC-4f65-9D91-7224C49458BB}"/>
              </c:extLst>
            </c:dLbl>
            <c:dLbl>
              <c:idx val="16"/>
              <c:layout>
                <c:manualLayout>
                  <c:x val="-4.4314191272552782E-2"/>
                  <c:y val="3.526305613153139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BD99-413B-834A-5401D5C5390F}"/>
                </c:ext>
                <c:ext xmlns:c15="http://schemas.microsoft.com/office/drawing/2012/chart" uri="{CE6537A1-D6FC-4f65-9D91-7224C49458BB}"/>
              </c:extLst>
            </c:dLbl>
            <c:dLbl>
              <c:idx val="17"/>
              <c:layout>
                <c:manualLayout>
                  <c:x val="5.3072571418373668E-2"/>
                  <c:y val="8.8896593260304782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BD99-413B-834A-5401D5C5390F}"/>
                </c:ext>
                <c:ext xmlns:c15="http://schemas.microsoft.com/office/drawing/2012/chart" uri="{CE6537A1-D6FC-4f65-9D91-7224C49458BB}"/>
              </c:extLst>
            </c:dLbl>
            <c:dLbl>
              <c:idx val="18"/>
              <c:layout>
                <c:manualLayout>
                  <c:x val="5.4536729874265499E-2"/>
                  <c:y val="-5.1744627568582528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BD99-413B-834A-5401D5C5390F}"/>
                </c:ext>
                <c:ext xmlns:c15="http://schemas.microsoft.com/office/drawing/2012/chart" uri="{CE6537A1-D6FC-4f65-9D91-7224C49458BB}"/>
              </c:extLst>
            </c:dLbl>
            <c:dLbl>
              <c:idx val="19"/>
              <c:layout>
                <c:manualLayout>
                  <c:x val="5.3788391031831168E-2"/>
                  <c:y val="-2.823355801947279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BD99-413B-834A-5401D5C5390F}"/>
                </c:ext>
                <c:ext xmlns:c15="http://schemas.microsoft.com/office/drawing/2012/chart" uri="{CE6537A1-D6FC-4f65-9D91-7224C49458BB}"/>
              </c:extLst>
            </c:dLbl>
            <c:dLbl>
              <c:idx val="20"/>
              <c:layout>
                <c:manualLayout>
                  <c:x val="5.3602396905121093E-2"/>
                  <c:y val="-2.82246683601467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BD99-413B-834A-5401D5C5390F}"/>
                </c:ext>
                <c:ext xmlns:c15="http://schemas.microsoft.com/office/drawing/2012/chart" uri="{CE6537A1-D6FC-4f65-9D91-7224C49458BB}"/>
              </c:extLst>
            </c:dLbl>
            <c:dLbl>
              <c:idx val="21"/>
              <c:layout>
                <c:manualLayout>
                  <c:x val="5.240077173682417E-2"/>
                  <c:y val="-2.018174908492069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BD99-413B-834A-5401D5C5390F}"/>
                </c:ext>
                <c:ext xmlns:c15="http://schemas.microsoft.com/office/drawing/2012/chart" uri="{CE6537A1-D6FC-4f65-9D91-7224C49458BB}"/>
              </c:extLst>
            </c:dLbl>
            <c:dLbl>
              <c:idx val="22"/>
              <c:layout>
                <c:manualLayout>
                  <c:x val="5.7434907012851047E-2"/>
                  <c:y val="-2.2224148320250659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BD99-413B-834A-5401D5C5390F}"/>
                </c:ext>
                <c:ext xmlns:c15="http://schemas.microsoft.com/office/drawing/2012/chart" uri="{CE6537A1-D6FC-4f65-9D91-7224C49458BB}"/>
              </c:extLst>
            </c:dLbl>
            <c:dLbl>
              <c:idx val="23"/>
              <c:layout>
                <c:manualLayout>
                  <c:x val="6.1004288969041295E-2"/>
                  <c:y val="-2.822911318980978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BD99-413B-834A-5401D5C5390F}"/>
                </c:ext>
                <c:ext xmlns:c15="http://schemas.microsoft.com/office/drawing/2012/chart" uri="{CE6537A1-D6FC-4f65-9D91-7224C49458BB}">
                  <c15:layout>
                    <c:manualLayout>
                      <c:w val="9.4700216450216451E-2"/>
                      <c:h val="3.487262737262737E-2"/>
                    </c:manualLayout>
                  </c15:layout>
                </c:ext>
              </c:extLst>
            </c:dLbl>
            <c:dLbl>
              <c:idx val="24"/>
              <c:layout>
                <c:manualLayout>
                  <c:x val="5.7884624155045243E-2"/>
                  <c:y val="-2.018174908492069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BD99-413B-834A-5401D5C5390F}"/>
                </c:ext>
                <c:ext xmlns:c15="http://schemas.microsoft.com/office/drawing/2012/chart" uri="{CE6537A1-D6FC-4f65-9D91-7224C49458BB}"/>
              </c:extLst>
            </c:dLbl>
            <c:dLbl>
              <c:idx val="25"/>
              <c:layout>
                <c:manualLayout>
                  <c:x val="5.8972828597885669E-2"/>
                  <c:y val="-2.019063874424672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BD99-413B-834A-5401D5C5390F}"/>
                </c:ext>
                <c:ext xmlns:c15="http://schemas.microsoft.com/office/drawing/2012/chart" uri="{CE6537A1-D6FC-4f65-9D91-7224C49458BB}"/>
              </c:extLst>
            </c:dLbl>
            <c:dLbl>
              <c:idx val="26"/>
              <c:layout>
                <c:manualLayout>
                  <c:x val="6.3551298092271238E-2"/>
                  <c:y val="-2.019063874424698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BD99-413B-834A-5401D5C5390F}"/>
                </c:ext>
                <c:ext xmlns:c15="http://schemas.microsoft.com/office/drawing/2012/chart" uri="{CE6537A1-D6FC-4f65-9D91-7224C49458BB}"/>
              </c:extLst>
            </c:dLbl>
            <c:dLbl>
              <c:idx val="27"/>
              <c:layout>
                <c:manualLayout>
                  <c:x val="6.9307994773128809E-2"/>
                  <c:y val="-5.1248886014565703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BD99-413B-834A-5401D5C5390F}"/>
                </c:ext>
                <c:ext xmlns:c15="http://schemas.microsoft.com/office/drawing/2012/chart" uri="{CE6537A1-D6FC-4f65-9D91-7224C49458BB}"/>
              </c:extLst>
            </c:dLbl>
            <c:dLbl>
              <c:idx val="28"/>
              <c:layout>
                <c:manualLayout>
                  <c:x val="7.4794226647128689E-2"/>
                  <c:y val="-2.019952840357275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BD99-413B-834A-5401D5C5390F}"/>
                </c:ext>
                <c:ext xmlns:c15="http://schemas.microsoft.com/office/drawing/2012/chart" uri="{CE6537A1-D6FC-4f65-9D91-7224C49458BB}"/>
              </c:extLst>
            </c:dLbl>
            <c:dLbl>
              <c:idx val="29"/>
              <c:layout>
                <c:manualLayout>
                  <c:x val="7.3763525718942735E-2"/>
                  <c:y val="-7.0339429417214864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BD99-413B-834A-5401D5C5390F}"/>
                </c:ext>
                <c:ext xmlns:c15="http://schemas.microsoft.com/office/drawing/2012/chart" uri="{CE6537A1-D6FC-4f65-9D91-7224C49458BB}"/>
              </c:extLst>
            </c:dLbl>
            <c:dLbl>
              <c:idx val="30"/>
              <c:layout>
                <c:manualLayout>
                  <c:x val="8.8681127148202518E-2"/>
                  <c:y val="-2.019952840357275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BD99-413B-834A-5401D5C5390F}"/>
                </c:ext>
                <c:ext xmlns:c15="http://schemas.microsoft.com/office/drawing/2012/chart" uri="{CE6537A1-D6FC-4f65-9D91-7224C49458BB}"/>
              </c:extLst>
            </c:dLbl>
            <c:dLbl>
              <c:idx val="31"/>
              <c:layout>
                <c:manualLayout>
                  <c:x val="0.10036710025009152"/>
                  <c:y val="-4.840889867908877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BD99-413B-834A-5401D5C5390F}"/>
                </c:ext>
                <c:ext xmlns:c15="http://schemas.microsoft.com/office/drawing/2012/chart" uri="{CE6537A1-D6FC-4f65-9D91-7224C49458BB}">
                  <c15:layout>
                    <c:manualLayout>
                      <c:w val="9.5610102376084888E-2"/>
                      <c:h val="2.9227644173606151E-2"/>
                    </c:manualLayout>
                  </c15:layout>
                </c:ext>
              </c:extLst>
            </c:dLbl>
            <c:numFmt formatCode="#,##0.00" sourceLinked="0"/>
            <c:spPr>
              <a:noFill/>
              <a:ln>
                <a:noFill/>
              </a:ln>
              <a:effectLst/>
            </c:spPr>
            <c:txPr>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'Var-Ponderadas-al-Nal.'!$L$7:$L$38</c:f>
              <c:strCache>
                <c:ptCount val="32"/>
                <c:pt idx="0">
                  <c:v>México</c:v>
                </c:pt>
                <c:pt idx="1">
                  <c:v>Ciudad de México</c:v>
                </c:pt>
                <c:pt idx="2">
                  <c:v>Tabasco</c:v>
                </c:pt>
                <c:pt idx="3">
                  <c:v>Baja California Sur</c:v>
                </c:pt>
                <c:pt idx="4">
                  <c:v>Campeche</c:v>
                </c:pt>
                <c:pt idx="5">
                  <c:v>Chiapas</c:v>
                </c:pt>
                <c:pt idx="6">
                  <c:v>Quintana Roo</c:v>
                </c:pt>
                <c:pt idx="7">
                  <c:v>Puebla</c:v>
                </c:pt>
                <c:pt idx="8">
                  <c:v>Oaxaca</c:v>
                </c:pt>
                <c:pt idx="9">
                  <c:v>Morelos</c:v>
                </c:pt>
                <c:pt idx="10">
                  <c:v>Zacatecas</c:v>
                </c:pt>
                <c:pt idx="11">
                  <c:v>Veracruz de Ignacio de la Llave</c:v>
                </c:pt>
                <c:pt idx="12">
                  <c:v>Nayarit</c:v>
                </c:pt>
                <c:pt idx="13">
                  <c:v>Hidalgo</c:v>
                </c:pt>
                <c:pt idx="14">
                  <c:v>Guerrero</c:v>
                </c:pt>
                <c:pt idx="15">
                  <c:v>Querétaro</c:v>
                </c:pt>
                <c:pt idx="16">
                  <c:v>Aguascalientes</c:v>
                </c:pt>
                <c:pt idx="17">
                  <c:v>San Luis Potosí</c:v>
                </c:pt>
                <c:pt idx="18">
                  <c:v>Durango</c:v>
                </c:pt>
                <c:pt idx="19">
                  <c:v>Guanajuato</c:v>
                </c:pt>
                <c:pt idx="20">
                  <c:v>Jalisco</c:v>
                </c:pt>
                <c:pt idx="21">
                  <c:v>Yucatán</c:v>
                </c:pt>
                <c:pt idx="22">
                  <c:v>Colima</c:v>
                </c:pt>
                <c:pt idx="23">
                  <c:v>Michoacán de Ocampo</c:v>
                </c:pt>
                <c:pt idx="24">
                  <c:v>Sonora</c:v>
                </c:pt>
                <c:pt idx="25">
                  <c:v>Sinaloa</c:v>
                </c:pt>
                <c:pt idx="26">
                  <c:v>Tamaulipas</c:v>
                </c:pt>
                <c:pt idx="27">
                  <c:v>Chihuahua</c:v>
                </c:pt>
                <c:pt idx="28">
                  <c:v>Baja California</c:v>
                </c:pt>
                <c:pt idx="29">
                  <c:v>Tlaxcala</c:v>
                </c:pt>
                <c:pt idx="30">
                  <c:v>Coahuila de Zaragoza</c:v>
                </c:pt>
                <c:pt idx="31">
                  <c:v>Nuevo León</c:v>
                </c:pt>
              </c:strCache>
            </c:strRef>
          </c:cat>
          <c:val>
            <c:numRef>
              <c:f>'Var-Ponderadas-al-Nal.'!$M$7:$M$38</c:f>
              <c:numCache>
                <c:formatCode>0.00</c:formatCode>
                <c:ptCount val="32"/>
                <c:pt idx="0">
                  <c:v>-0.22315874845461081</c:v>
                </c:pt>
                <c:pt idx="1">
                  <c:v>-0.13146076766546241</c:v>
                </c:pt>
                <c:pt idx="2">
                  <c:v>-0.10277768013815483</c:v>
                </c:pt>
                <c:pt idx="3">
                  <c:v>-9.5642989358069502E-2</c:v>
                </c:pt>
                <c:pt idx="4">
                  <c:v>-6.6660008141640886E-2</c:v>
                </c:pt>
                <c:pt idx="5">
                  <c:v>-5.2357391146955687E-2</c:v>
                </c:pt>
                <c:pt idx="6">
                  <c:v>-4.7813967399947935E-2</c:v>
                </c:pt>
                <c:pt idx="7">
                  <c:v>-4.3797200247230793E-2</c:v>
                </c:pt>
                <c:pt idx="8">
                  <c:v>-3.5540339038727456E-2</c:v>
                </c:pt>
                <c:pt idx="9">
                  <c:v>-2.8027617586930873E-2</c:v>
                </c:pt>
                <c:pt idx="10">
                  <c:v>-2.7232985993355236E-2</c:v>
                </c:pt>
                <c:pt idx="11">
                  <c:v>-2.6437866083908534E-2</c:v>
                </c:pt>
                <c:pt idx="12">
                  <c:v>-2.1241783711884003E-2</c:v>
                </c:pt>
                <c:pt idx="13">
                  <c:v>-1.9704902356687808E-2</c:v>
                </c:pt>
                <c:pt idx="14">
                  <c:v>-1.5268776492720333E-2</c:v>
                </c:pt>
                <c:pt idx="15">
                  <c:v>-1.4420359646223194E-2</c:v>
                </c:pt>
                <c:pt idx="16">
                  <c:v>-7.319698143203858E-3</c:v>
                </c:pt>
                <c:pt idx="17">
                  <c:v>5.9185187683761587E-4</c:v>
                </c:pt>
                <c:pt idx="18">
                  <c:v>8.3465957839745017E-3</c:v>
                </c:pt>
                <c:pt idx="19">
                  <c:v>1.3839109366074381E-2</c:v>
                </c:pt>
                <c:pt idx="20">
                  <c:v>1.680444482838956E-2</c:v>
                </c:pt>
                <c:pt idx="21">
                  <c:v>1.705497874318786E-2</c:v>
                </c:pt>
                <c:pt idx="22">
                  <c:v>3.0007739113072165E-2</c:v>
                </c:pt>
                <c:pt idx="23">
                  <c:v>3.5347312111310786E-2</c:v>
                </c:pt>
                <c:pt idx="24">
                  <c:v>3.6083923444009278E-2</c:v>
                </c:pt>
                <c:pt idx="25">
                  <c:v>4.3936412107313132E-2</c:v>
                </c:pt>
                <c:pt idx="26">
                  <c:v>5.0702759398108053E-2</c:v>
                </c:pt>
                <c:pt idx="27">
                  <c:v>5.9361798540067207E-2</c:v>
                </c:pt>
                <c:pt idx="28">
                  <c:v>7.3911722602634955E-2</c:v>
                </c:pt>
                <c:pt idx="29">
                  <c:v>7.4831162288060693E-2</c:v>
                </c:pt>
                <c:pt idx="30">
                  <c:v>9.9897642202822129E-2</c:v>
                </c:pt>
                <c:pt idx="31">
                  <c:v>0.14363151257811207</c:v>
                </c:pt>
              </c:numCache>
            </c:numRef>
          </c:val>
          <c:extLst xmlns:c16r2="http://schemas.microsoft.com/office/drawing/2015/06/chart">
            <c:ext xmlns:c16="http://schemas.microsoft.com/office/drawing/2014/chart" uri="{C3380CC4-5D6E-409C-BE32-E72D297353CC}">
              <c16:uniqueId val="{00000020-BD99-413B-834A-5401D5C5390F}"/>
            </c:ext>
          </c:extLst>
        </c:ser>
        <c:dLbls>
          <c:showLegendKey val="0"/>
          <c:showVal val="0"/>
          <c:showCatName val="0"/>
          <c:showSerName val="0"/>
          <c:showPercent val="0"/>
          <c:showBubbleSize val="0"/>
        </c:dLbls>
        <c:gapWidth val="31"/>
        <c:gapDepth val="48"/>
        <c:shape val="cylinder"/>
        <c:axId val="-544320912"/>
        <c:axId val="-544301872"/>
        <c:axId val="0"/>
      </c:bar3DChart>
      <c:catAx>
        <c:axId val="-544320912"/>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544301872"/>
        <c:crosses val="autoZero"/>
        <c:auto val="1"/>
        <c:lblAlgn val="ctr"/>
        <c:lblOffset val="100"/>
        <c:noMultiLvlLbl val="0"/>
      </c:catAx>
      <c:valAx>
        <c:axId val="-544301872"/>
        <c:scaling>
          <c:orientation val="minMax"/>
          <c:max val="0.30000000000000004"/>
          <c:min val="-0.4"/>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544320912"/>
        <c:crosses val="autoZero"/>
        <c:crossBetween val="between"/>
        <c:majorUnit val="0.15000000000000002"/>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2.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4.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5.xml><?xml version="1.0" encoding="utf-8"?>
<ds:datastoreItem xmlns:ds="http://schemas.openxmlformats.org/officeDocument/2006/customXml" ds:itemID="{3B00E341-B518-4995-85E2-9207CFC68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7</Pages>
  <Words>1760</Words>
  <Characters>9686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armando_godoy</dc:creator>
  <cp:keywords/>
  <cp:lastModifiedBy>Ramos Hernández, Antonio</cp:lastModifiedBy>
  <cp:revision>29</cp:revision>
  <cp:lastPrinted>2019-02-21T00:06:00Z</cp:lastPrinted>
  <dcterms:created xsi:type="dcterms:W3CDTF">2018-01-17T21:05:00Z</dcterms:created>
  <dcterms:modified xsi:type="dcterms:W3CDTF">2020-02-12T21:07:00Z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