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w:t>
      </w:r>
      <w:r w:rsidR="0062320E">
        <w:rPr>
          <w:rFonts w:ascii="Arial" w:hAnsi="Arial" w:cs="Arial"/>
          <w:b/>
          <w:sz w:val="17"/>
          <w:szCs w:val="17"/>
        </w:rPr>
        <w:t xml:space="preserve"> </w:t>
      </w:r>
      <w:r w:rsidRPr="002D70DA">
        <w:rPr>
          <w:rFonts w:ascii="Arial" w:hAnsi="Arial" w:cs="Arial"/>
          <w:b/>
          <w:sz w:val="17"/>
          <w:szCs w:val="17"/>
        </w:rPr>
        <w:t>L</w:t>
      </w:r>
      <w:r w:rsidR="00181A8D">
        <w:rPr>
          <w:rFonts w:ascii="Arial" w:hAnsi="Arial" w:cs="Arial"/>
          <w:b/>
          <w:sz w:val="17"/>
          <w:szCs w:val="17"/>
        </w:rPr>
        <w:t>AS</w:t>
      </w:r>
      <w:r w:rsidR="00850AEE" w:rsidRPr="002D70DA">
        <w:rPr>
          <w:rFonts w:ascii="Arial" w:hAnsi="Arial" w:cs="Arial"/>
          <w:b/>
          <w:sz w:val="17"/>
          <w:szCs w:val="17"/>
        </w:rPr>
        <w:t xml:space="preserve"> </w:t>
      </w:r>
      <w:r w:rsidR="00181A8D">
        <w:rPr>
          <w:rFonts w:ascii="Arial" w:hAnsi="Arial" w:cs="Arial"/>
          <w:b/>
          <w:sz w:val="17"/>
          <w:szCs w:val="17"/>
        </w:rPr>
        <w:t>ENTIDADES PARAESTATALES EMPRESARIALES NO FINANCIERAS CON PARTICIPACIÓN ESTATAL MAYORITARIA DEL ESTADO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9831D5">
        <w:rPr>
          <w:rFonts w:ascii="Arial" w:eastAsia="Calibri" w:hAnsi="Arial" w:cs="Arial"/>
          <w:spacing w:val="-1"/>
          <w:sz w:val="17"/>
          <w:szCs w:val="17"/>
        </w:rPr>
        <w:t>2019</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w:t>
      </w:r>
      <w:r w:rsidR="00181A8D">
        <w:rPr>
          <w:rFonts w:ascii="Arial" w:eastAsia="Calibri" w:hAnsi="Arial" w:cs="Arial"/>
          <w:spacing w:val="-1"/>
          <w:sz w:val="17"/>
          <w:szCs w:val="17"/>
        </w:rPr>
        <w:t>es</w:t>
      </w:r>
      <w:r w:rsidR="009D4479">
        <w:rPr>
          <w:rFonts w:ascii="Arial" w:eastAsia="Calibri" w:hAnsi="Arial" w:cs="Arial"/>
          <w:spacing w:val="-1"/>
          <w:sz w:val="17"/>
          <w:szCs w:val="17"/>
        </w:rPr>
        <w:t>ión de</w:t>
      </w:r>
      <w:r w:rsidR="0062320E">
        <w:rPr>
          <w:rFonts w:ascii="Arial" w:eastAsia="Calibri" w:hAnsi="Arial" w:cs="Arial"/>
          <w:spacing w:val="-1"/>
          <w:sz w:val="17"/>
          <w:szCs w:val="17"/>
        </w:rPr>
        <w:t xml:space="preserve"> </w:t>
      </w:r>
      <w:r w:rsidR="009D4479">
        <w:rPr>
          <w:rFonts w:ascii="Arial" w:eastAsia="Calibri" w:hAnsi="Arial" w:cs="Arial"/>
          <w:spacing w:val="-1"/>
          <w:sz w:val="17"/>
          <w:szCs w:val="17"/>
        </w:rPr>
        <w:t>l</w:t>
      </w:r>
      <w:r w:rsidR="00181A8D">
        <w:rPr>
          <w:rFonts w:ascii="Arial" w:eastAsia="Calibri" w:hAnsi="Arial" w:cs="Arial"/>
          <w:spacing w:val="-1"/>
          <w:sz w:val="17"/>
          <w:szCs w:val="17"/>
        </w:rPr>
        <w:t>a</w:t>
      </w:r>
      <w:r w:rsidR="0062320E">
        <w:rPr>
          <w:rFonts w:ascii="Arial" w:eastAsia="Calibri" w:hAnsi="Arial" w:cs="Arial"/>
          <w:spacing w:val="-1"/>
          <w:sz w:val="17"/>
          <w:szCs w:val="17"/>
        </w:rPr>
        <w:t>s</w:t>
      </w:r>
      <w:r w:rsidR="004A4F89">
        <w:rPr>
          <w:rFonts w:ascii="Arial" w:eastAsia="Calibri" w:hAnsi="Arial" w:cs="Arial"/>
          <w:spacing w:val="-1"/>
          <w:sz w:val="17"/>
          <w:szCs w:val="17"/>
        </w:rPr>
        <w:t xml:space="preserve"> </w:t>
      </w:r>
      <w:r w:rsidR="00181A8D">
        <w:rPr>
          <w:rFonts w:ascii="Arial" w:eastAsia="Calibri" w:hAnsi="Arial" w:cs="Arial"/>
          <w:spacing w:val="-1"/>
          <w:sz w:val="17"/>
          <w:szCs w:val="17"/>
        </w:rPr>
        <w:t>Entidades Paraestatales Empresariales No Financieras con Participación Estatal Mayoritaria del Estado de Querétaro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9831D5" w:rsidRDefault="002273AF" w:rsidP="002273AF">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1,463,032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1,192,985 </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9831D5" w:rsidRDefault="002273AF" w:rsidP="002273AF">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121,219,192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16,522,813 </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9831D5" w:rsidRDefault="002273AF" w:rsidP="002273AF">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157,698,214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544,757,267 </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9831D5" w:rsidRDefault="002273AF" w:rsidP="002273AF">
            <w:pPr>
              <w:rPr>
                <w:rFonts w:ascii="Arial" w:hAnsi="Arial" w:cs="Arial"/>
                <w:sz w:val="17"/>
                <w:szCs w:val="17"/>
              </w:rPr>
            </w:pPr>
            <w:r w:rsidRPr="002273AF">
              <w:rPr>
                <w:rFonts w:ascii="Arial" w:hAnsi="Arial" w:cs="Arial"/>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368,342,828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214,491,186 </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9831D5" w:rsidRDefault="002273AF" w:rsidP="002273AF">
            <w:pPr>
              <w:rPr>
                <w:rFonts w:ascii="Arial" w:hAnsi="Arial" w:cs="Arial"/>
                <w:sz w:val="17"/>
                <w:szCs w:val="17"/>
              </w:rPr>
            </w:pPr>
            <w:r w:rsidRPr="009831D5">
              <w:rPr>
                <w:rFonts w:ascii="Arial" w:hAnsi="Arial" w:cs="Arial"/>
                <w:sz w:val="17"/>
                <w:szCs w:val="17"/>
              </w:rPr>
              <w:t>Depósitos de</w:t>
            </w:r>
            <w:r>
              <w:rPr>
                <w:rFonts w:ascii="Arial" w:hAnsi="Arial" w:cs="Arial"/>
                <w:sz w:val="17"/>
                <w:szCs w:val="17"/>
              </w:rPr>
              <w:t xml:space="preserve"> Fondos de Terceros en Garantía</w:t>
            </w:r>
            <w:r w:rsidRPr="009831D5">
              <w:rPr>
                <w:rFonts w:ascii="Arial" w:hAnsi="Arial" w:cs="Arial"/>
                <w:sz w:val="17"/>
                <w:szCs w:val="17"/>
              </w:rPr>
              <w:t xml:space="preserve"> y/o Administración</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5,228,009 </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9831D5" w:rsidRDefault="002273AF" w:rsidP="002273AF">
            <w:pPr>
              <w:rPr>
                <w:rFonts w:ascii="Arial" w:hAnsi="Arial" w:cs="Arial"/>
                <w:sz w:val="17"/>
                <w:szCs w:val="17"/>
              </w:rPr>
            </w:pPr>
            <w:r w:rsidRPr="002273AF">
              <w:rPr>
                <w:rFonts w:ascii="Arial" w:hAnsi="Arial" w:cs="Arial"/>
                <w:sz w:val="17"/>
                <w:szCs w:val="17"/>
              </w:rPr>
              <w:t>Otros Efectivos y Equivalentes</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 279,160 </w:t>
            </w:r>
          </w:p>
        </w:tc>
      </w:tr>
      <w:tr w:rsidR="002273AF" w:rsidRPr="002D70DA" w:rsidTr="002273AF">
        <w:trPr>
          <w:trHeight w:val="240"/>
          <w:jc w:val="center"/>
        </w:trPr>
        <w:tc>
          <w:tcPr>
            <w:tcW w:w="4900" w:type="dxa"/>
            <w:tcBorders>
              <w:top w:val="nil"/>
              <w:left w:val="nil"/>
              <w:bottom w:val="nil"/>
              <w:right w:val="single" w:sz="4" w:space="0" w:color="auto"/>
            </w:tcBorders>
            <w:shd w:val="clear" w:color="000000" w:fill="FFFFFF"/>
            <w:vAlign w:val="center"/>
            <w:hideMark/>
          </w:tcPr>
          <w:p w:rsidR="002273AF" w:rsidRPr="002D70DA" w:rsidRDefault="002273AF" w:rsidP="002273A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273AF" w:rsidRPr="002273AF" w:rsidRDefault="002273AF" w:rsidP="002273AF">
            <w:pPr>
              <w:jc w:val="right"/>
              <w:rPr>
                <w:rFonts w:ascii="Arial" w:hAnsi="Arial" w:cs="Arial"/>
                <w:b/>
                <w:sz w:val="17"/>
                <w:szCs w:val="17"/>
              </w:rPr>
            </w:pPr>
            <w:r w:rsidRPr="002273AF">
              <w:rPr>
                <w:rFonts w:ascii="Arial" w:hAnsi="Arial" w:cs="Arial"/>
                <w:b/>
                <w:sz w:val="17"/>
                <w:szCs w:val="17"/>
              </w:rPr>
              <w:t xml:space="preserve"> 648,723,267 </w:t>
            </w:r>
          </w:p>
        </w:tc>
        <w:tc>
          <w:tcPr>
            <w:tcW w:w="2180" w:type="dxa"/>
            <w:tcBorders>
              <w:top w:val="nil"/>
              <w:left w:val="single" w:sz="4" w:space="0" w:color="auto"/>
              <w:bottom w:val="single" w:sz="4" w:space="0" w:color="auto"/>
              <w:right w:val="single" w:sz="4" w:space="0" w:color="auto"/>
            </w:tcBorders>
            <w:shd w:val="clear" w:color="000000" w:fill="FFFFFF"/>
          </w:tcPr>
          <w:p w:rsidR="002273AF" w:rsidRPr="002273AF" w:rsidRDefault="002273AF" w:rsidP="002273AF">
            <w:pPr>
              <w:jc w:val="right"/>
              <w:rPr>
                <w:rFonts w:ascii="Arial" w:hAnsi="Arial" w:cs="Arial"/>
                <w:b/>
                <w:sz w:val="17"/>
                <w:szCs w:val="17"/>
              </w:rPr>
            </w:pPr>
            <w:r w:rsidRPr="002273AF">
              <w:rPr>
                <w:rFonts w:ascii="Arial" w:hAnsi="Arial" w:cs="Arial"/>
                <w:b/>
                <w:sz w:val="17"/>
                <w:szCs w:val="17"/>
              </w:rPr>
              <w:t xml:space="preserve"> 782,471,420 </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w:t>
      </w:r>
      <w:r w:rsidR="00C240A2">
        <w:rPr>
          <w:rFonts w:ascii="Arial" w:eastAsia="Calibri" w:hAnsi="Arial" w:cs="Arial"/>
          <w:spacing w:val="-1"/>
          <w:sz w:val="17"/>
          <w:szCs w:val="17"/>
        </w:rPr>
        <w:t>de</w:t>
      </w:r>
      <w:r>
        <w:rPr>
          <w:rFonts w:ascii="Arial" w:eastAsia="Calibri" w:hAnsi="Arial" w:cs="Arial"/>
          <w:spacing w:val="-1"/>
          <w:sz w:val="17"/>
          <w:szCs w:val="17"/>
        </w:rPr>
        <w:t xml:space="preserve">cremento del </w:t>
      </w:r>
      <w:r w:rsidR="00C240A2">
        <w:rPr>
          <w:rFonts w:ascii="Arial" w:eastAsia="Calibri" w:hAnsi="Arial" w:cs="Arial"/>
          <w:spacing w:val="-1"/>
          <w:sz w:val="17"/>
          <w:szCs w:val="17"/>
        </w:rPr>
        <w:t>2</w:t>
      </w:r>
      <w:r w:rsidR="005E3432">
        <w:rPr>
          <w:rFonts w:ascii="Arial" w:eastAsia="Calibri" w:hAnsi="Arial" w:cs="Arial"/>
          <w:spacing w:val="-1"/>
          <w:sz w:val="17"/>
          <w:szCs w:val="17"/>
        </w:rPr>
        <w:t>1</w:t>
      </w:r>
      <w:r w:rsidR="000F7647" w:rsidRPr="000F7647">
        <w:rPr>
          <w:rFonts w:ascii="Arial" w:eastAsia="Calibri" w:hAnsi="Arial" w:cs="Arial"/>
          <w:spacing w:val="-1"/>
          <w:sz w:val="17"/>
          <w:szCs w:val="17"/>
        </w:rPr>
        <w:t>% en el rubro de efectivo y equivalentes derivado principalmente en</w:t>
      </w:r>
      <w:r w:rsidR="00C240A2">
        <w:rPr>
          <w:rFonts w:ascii="Arial" w:eastAsia="Calibri" w:hAnsi="Arial" w:cs="Arial"/>
          <w:spacing w:val="-1"/>
          <w:sz w:val="17"/>
          <w:szCs w:val="17"/>
        </w:rPr>
        <w:t xml:space="preserve"> la</w:t>
      </w:r>
      <w:r w:rsidR="000F7647" w:rsidRPr="000F7647">
        <w:rPr>
          <w:rFonts w:ascii="Arial" w:eastAsia="Calibri" w:hAnsi="Arial" w:cs="Arial"/>
          <w:spacing w:val="-1"/>
          <w:sz w:val="17"/>
          <w:szCs w:val="17"/>
        </w:rPr>
        <w:t xml:space="preserve"> </w:t>
      </w:r>
      <w:r w:rsidR="00C240A2">
        <w:rPr>
          <w:rFonts w:ascii="Arial" w:eastAsia="Calibri" w:hAnsi="Arial" w:cs="Arial"/>
          <w:spacing w:val="-1"/>
          <w:sz w:val="17"/>
          <w:szCs w:val="17"/>
        </w:rPr>
        <w:t>disminución</w:t>
      </w:r>
      <w:r w:rsidR="000F7647" w:rsidRPr="000F7647">
        <w:rPr>
          <w:rFonts w:ascii="Arial" w:eastAsia="Calibri" w:hAnsi="Arial" w:cs="Arial"/>
          <w:spacing w:val="-1"/>
          <w:sz w:val="17"/>
          <w:szCs w:val="17"/>
        </w:rPr>
        <w:t xml:space="preserve"> en el rubro de </w:t>
      </w:r>
      <w:r w:rsidR="00C240A2" w:rsidRPr="00C240A2">
        <w:rPr>
          <w:rFonts w:ascii="Arial" w:eastAsia="Calibri" w:hAnsi="Arial" w:cs="Arial"/>
          <w:spacing w:val="-1"/>
          <w:sz w:val="17"/>
          <w:szCs w:val="17"/>
        </w:rPr>
        <w:t>Inversiones Temporales (Hasta 3 Meses)</w:t>
      </w:r>
      <w:r w:rsidR="00E505C6">
        <w:rPr>
          <w:rFonts w:ascii="Arial" w:eastAsia="Calibri" w:hAnsi="Arial" w:cs="Arial"/>
          <w:spacing w:val="-1"/>
          <w:sz w:val="17"/>
          <w:szCs w:val="17"/>
        </w:rPr>
        <w:t xml:space="preserve"> por parte de</w:t>
      </w:r>
      <w:r w:rsidR="005E3432">
        <w:rPr>
          <w:rFonts w:ascii="Arial" w:eastAsia="Calibri" w:hAnsi="Arial" w:cs="Arial"/>
          <w:spacing w:val="-1"/>
          <w:sz w:val="17"/>
          <w:szCs w:val="17"/>
        </w:rPr>
        <w:t xml:space="preserve"> </w:t>
      </w:r>
      <w:r w:rsidR="00E505C6">
        <w:rPr>
          <w:rFonts w:ascii="Arial" w:eastAsia="Calibri" w:hAnsi="Arial" w:cs="Arial"/>
          <w:spacing w:val="-1"/>
          <w:sz w:val="17"/>
          <w:szCs w:val="17"/>
        </w:rPr>
        <w:t>l</w:t>
      </w:r>
      <w:r w:rsidR="005E3432">
        <w:rPr>
          <w:rFonts w:ascii="Arial" w:eastAsia="Calibri" w:hAnsi="Arial" w:cs="Arial"/>
          <w:spacing w:val="-1"/>
          <w:sz w:val="17"/>
          <w:szCs w:val="17"/>
        </w:rPr>
        <w:t>a</w:t>
      </w:r>
      <w:r w:rsidR="00E505C6">
        <w:rPr>
          <w:rFonts w:ascii="Arial" w:eastAsia="Calibri" w:hAnsi="Arial" w:cs="Arial"/>
          <w:spacing w:val="-1"/>
          <w:sz w:val="17"/>
          <w:szCs w:val="17"/>
        </w:rPr>
        <w:t xml:space="preserve"> </w:t>
      </w:r>
      <w:r w:rsidR="00C240A2" w:rsidRPr="00C240A2">
        <w:rPr>
          <w:rFonts w:ascii="Arial" w:eastAsia="Calibri" w:hAnsi="Arial" w:cs="Arial"/>
          <w:spacing w:val="-1"/>
          <w:sz w:val="17"/>
          <w:szCs w:val="17"/>
        </w:rPr>
        <w:t>Comisión Estatal de Aguas</w:t>
      </w:r>
      <w:r w:rsidR="000F7647" w:rsidRPr="000F7647">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2018</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2273AF" w:rsidRDefault="002273AF" w:rsidP="002273AF">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571,088,461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713,128,764 </w:t>
            </w:r>
          </w:p>
        </w:tc>
      </w:tr>
      <w:tr w:rsidR="002273AF" w:rsidRPr="002D70DA" w:rsidTr="00227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273AF" w:rsidRPr="002273AF" w:rsidRDefault="002273AF" w:rsidP="002273AF">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77,634,806 </w:t>
            </w:r>
          </w:p>
        </w:tc>
        <w:tc>
          <w:tcPr>
            <w:tcW w:w="2180" w:type="dxa"/>
            <w:tcBorders>
              <w:top w:val="single" w:sz="4" w:space="0" w:color="auto"/>
              <w:left w:val="nil"/>
              <w:bottom w:val="single" w:sz="4" w:space="0" w:color="auto"/>
              <w:right w:val="single" w:sz="4" w:space="0" w:color="auto"/>
            </w:tcBorders>
            <w:shd w:val="clear" w:color="auto" w:fill="auto"/>
          </w:tcPr>
          <w:p w:rsidR="002273AF" w:rsidRPr="002273AF" w:rsidRDefault="002273AF" w:rsidP="002273AF">
            <w:pPr>
              <w:jc w:val="right"/>
              <w:rPr>
                <w:rFonts w:ascii="Arial" w:hAnsi="Arial" w:cs="Arial"/>
                <w:sz w:val="17"/>
                <w:szCs w:val="17"/>
              </w:rPr>
            </w:pPr>
            <w:r w:rsidRPr="002273AF">
              <w:rPr>
                <w:rFonts w:ascii="Arial" w:hAnsi="Arial" w:cs="Arial"/>
                <w:sz w:val="17"/>
                <w:szCs w:val="17"/>
              </w:rPr>
              <w:t xml:space="preserve">69,342,657 </w:t>
            </w:r>
          </w:p>
        </w:tc>
      </w:tr>
      <w:tr w:rsidR="002273AF" w:rsidRPr="002D70DA" w:rsidTr="002273AF">
        <w:trPr>
          <w:trHeight w:val="240"/>
          <w:jc w:val="center"/>
        </w:trPr>
        <w:tc>
          <w:tcPr>
            <w:tcW w:w="4900" w:type="dxa"/>
            <w:tcBorders>
              <w:top w:val="nil"/>
              <w:left w:val="nil"/>
              <w:bottom w:val="nil"/>
              <w:right w:val="single" w:sz="4" w:space="0" w:color="auto"/>
            </w:tcBorders>
            <w:shd w:val="clear" w:color="000000" w:fill="FFFFFF"/>
            <w:vAlign w:val="center"/>
            <w:hideMark/>
          </w:tcPr>
          <w:p w:rsidR="002273AF" w:rsidRPr="002D70DA" w:rsidRDefault="002273AF" w:rsidP="002273A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273AF" w:rsidRPr="002273AF" w:rsidRDefault="002273AF" w:rsidP="002273AF">
            <w:pPr>
              <w:jc w:val="right"/>
              <w:rPr>
                <w:rFonts w:ascii="Arial" w:hAnsi="Arial" w:cs="Arial"/>
                <w:b/>
                <w:sz w:val="17"/>
                <w:szCs w:val="17"/>
              </w:rPr>
            </w:pPr>
            <w:r w:rsidRPr="002273AF">
              <w:rPr>
                <w:rFonts w:ascii="Arial" w:hAnsi="Arial" w:cs="Arial"/>
                <w:b/>
                <w:sz w:val="17"/>
                <w:szCs w:val="17"/>
              </w:rPr>
              <w:t xml:space="preserve">648,723,267 </w:t>
            </w:r>
          </w:p>
        </w:tc>
        <w:tc>
          <w:tcPr>
            <w:tcW w:w="2180" w:type="dxa"/>
            <w:tcBorders>
              <w:top w:val="nil"/>
              <w:left w:val="single" w:sz="4" w:space="0" w:color="auto"/>
              <w:bottom w:val="single" w:sz="4" w:space="0" w:color="auto"/>
              <w:right w:val="single" w:sz="4" w:space="0" w:color="auto"/>
            </w:tcBorders>
            <w:shd w:val="clear" w:color="000000" w:fill="FFFFFF"/>
          </w:tcPr>
          <w:p w:rsidR="002273AF" w:rsidRPr="002273AF" w:rsidRDefault="002273AF" w:rsidP="002273AF">
            <w:pPr>
              <w:jc w:val="right"/>
              <w:rPr>
                <w:rFonts w:ascii="Arial" w:hAnsi="Arial" w:cs="Arial"/>
                <w:b/>
                <w:sz w:val="17"/>
                <w:szCs w:val="17"/>
              </w:rPr>
            </w:pPr>
            <w:r w:rsidRPr="002273AF">
              <w:rPr>
                <w:rFonts w:ascii="Arial" w:hAnsi="Arial" w:cs="Arial"/>
                <w:b/>
                <w:sz w:val="17"/>
                <w:szCs w:val="17"/>
              </w:rPr>
              <w:t xml:space="preserve">782,471,420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w:t>
      </w:r>
      <w:r w:rsidR="001E1BE9">
        <w:rPr>
          <w:rFonts w:ascii="Arial" w:eastAsia="Calibri" w:hAnsi="Arial" w:cs="Arial"/>
          <w:spacing w:val="-1"/>
          <w:sz w:val="17"/>
          <w:szCs w:val="17"/>
        </w:rPr>
        <w:t xml:space="preserve"> </w:t>
      </w:r>
      <w:r w:rsidRPr="00560276">
        <w:rPr>
          <w:rFonts w:ascii="Arial" w:eastAsia="Calibri" w:hAnsi="Arial" w:cs="Arial"/>
          <w:spacing w:val="-1"/>
          <w:sz w:val="17"/>
          <w:szCs w:val="17"/>
        </w:rPr>
        <w:t>l</w:t>
      </w:r>
      <w:r w:rsidR="001E1BE9">
        <w:rPr>
          <w:rFonts w:ascii="Arial" w:eastAsia="Calibri" w:hAnsi="Arial" w:cs="Arial"/>
          <w:spacing w:val="-1"/>
          <w:sz w:val="17"/>
          <w:szCs w:val="17"/>
        </w:rPr>
        <w:t>as</w:t>
      </w:r>
      <w:r w:rsidR="00471C1E">
        <w:rPr>
          <w:rFonts w:ascii="Arial" w:eastAsia="Calibri" w:hAnsi="Arial" w:cs="Arial"/>
          <w:spacing w:val="-1"/>
          <w:sz w:val="17"/>
          <w:szCs w:val="17"/>
        </w:rPr>
        <w:t xml:space="preserve"> </w:t>
      </w:r>
      <w:r w:rsidR="001E1BE9">
        <w:rPr>
          <w:rFonts w:ascii="Arial" w:eastAsia="Calibri" w:hAnsi="Arial" w:cs="Arial"/>
          <w:spacing w:val="-1"/>
          <w:sz w:val="17"/>
          <w:szCs w:val="17"/>
        </w:rPr>
        <w:t>Entidades Paraestatales Empresariales No Financieras con Participación Estatal Mayoritaria del Estado de Querétaro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1E1BE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1E1BE9" w:rsidRPr="002D70DA" w:rsidTr="001E1BE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1BE9" w:rsidRPr="000A6857" w:rsidRDefault="001E1BE9" w:rsidP="001E1BE9">
            <w:pPr>
              <w:rPr>
                <w:rFonts w:ascii="Arial" w:hAnsi="Arial" w:cs="Arial"/>
                <w:sz w:val="17"/>
                <w:szCs w:val="17"/>
              </w:rPr>
            </w:pPr>
            <w:r w:rsidRPr="000A6857">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1,315,502,975 </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1,085,663,972 </w:t>
            </w:r>
          </w:p>
        </w:tc>
      </w:tr>
      <w:tr w:rsidR="001E1BE9" w:rsidRPr="002D70DA" w:rsidTr="001E1BE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1BE9" w:rsidRPr="000A6857" w:rsidRDefault="001E1BE9" w:rsidP="001E1BE9">
            <w:pPr>
              <w:rPr>
                <w:rFonts w:ascii="Arial" w:hAnsi="Arial" w:cs="Arial"/>
                <w:sz w:val="17"/>
                <w:szCs w:val="17"/>
              </w:rPr>
            </w:pPr>
            <w:r w:rsidRPr="000A6857">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1,570,865 </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4,331,645 </w:t>
            </w:r>
          </w:p>
        </w:tc>
      </w:tr>
      <w:tr w:rsidR="001E1BE9" w:rsidRPr="002D70DA" w:rsidTr="001E1BE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1BE9" w:rsidRPr="000A6857" w:rsidRDefault="001E1BE9" w:rsidP="001E1BE9">
            <w:pPr>
              <w:rPr>
                <w:rFonts w:ascii="Arial" w:hAnsi="Arial" w:cs="Arial"/>
                <w:sz w:val="17"/>
                <w:szCs w:val="17"/>
              </w:rPr>
            </w:pPr>
            <w:r w:rsidRPr="000A6857">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51,473,981 </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1,005,381 </w:t>
            </w:r>
          </w:p>
        </w:tc>
      </w:tr>
      <w:tr w:rsidR="001E1BE9" w:rsidRPr="002D70DA" w:rsidTr="001E1BE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E1BE9" w:rsidRPr="000A6857" w:rsidRDefault="001E1BE9" w:rsidP="001E1BE9">
            <w:pPr>
              <w:rPr>
                <w:rFonts w:ascii="Arial" w:hAnsi="Arial" w:cs="Arial"/>
                <w:sz w:val="17"/>
                <w:szCs w:val="17"/>
              </w:rPr>
            </w:pPr>
            <w:r w:rsidRPr="000A6857">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342,969,166 </w:t>
            </w:r>
          </w:p>
        </w:tc>
        <w:tc>
          <w:tcPr>
            <w:tcW w:w="2180" w:type="dxa"/>
            <w:tcBorders>
              <w:top w:val="single" w:sz="4" w:space="0" w:color="auto"/>
              <w:left w:val="nil"/>
              <w:bottom w:val="single" w:sz="4" w:space="0" w:color="auto"/>
              <w:right w:val="single" w:sz="4" w:space="0" w:color="auto"/>
            </w:tcBorders>
            <w:shd w:val="clear" w:color="auto" w:fill="auto"/>
          </w:tcPr>
          <w:p w:rsidR="001E1BE9" w:rsidRPr="001E1BE9" w:rsidRDefault="001E1BE9" w:rsidP="001E1BE9">
            <w:pPr>
              <w:jc w:val="right"/>
              <w:rPr>
                <w:rFonts w:ascii="Arial" w:hAnsi="Arial" w:cs="Arial"/>
                <w:sz w:val="17"/>
                <w:szCs w:val="17"/>
              </w:rPr>
            </w:pPr>
            <w:r w:rsidRPr="001E1BE9">
              <w:rPr>
                <w:rFonts w:ascii="Arial" w:hAnsi="Arial" w:cs="Arial"/>
                <w:sz w:val="17"/>
                <w:szCs w:val="17"/>
              </w:rPr>
              <w:t xml:space="preserve"> 540,281,770 </w:t>
            </w:r>
          </w:p>
        </w:tc>
      </w:tr>
      <w:tr w:rsidR="001E1BE9" w:rsidRPr="007C1336" w:rsidTr="001E1BE9">
        <w:trPr>
          <w:trHeight w:val="240"/>
          <w:jc w:val="center"/>
        </w:trPr>
        <w:tc>
          <w:tcPr>
            <w:tcW w:w="4900" w:type="dxa"/>
            <w:tcBorders>
              <w:top w:val="nil"/>
              <w:left w:val="nil"/>
              <w:bottom w:val="nil"/>
              <w:right w:val="single" w:sz="4" w:space="0" w:color="auto"/>
            </w:tcBorders>
            <w:shd w:val="clear" w:color="000000" w:fill="FFFFFF"/>
            <w:vAlign w:val="center"/>
            <w:hideMark/>
          </w:tcPr>
          <w:p w:rsidR="001E1BE9" w:rsidRPr="002D70DA" w:rsidRDefault="001E1BE9" w:rsidP="001E1BE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E1BE9" w:rsidRPr="001E1BE9" w:rsidRDefault="001E1BE9" w:rsidP="001E1BE9">
            <w:pPr>
              <w:jc w:val="right"/>
              <w:rPr>
                <w:rFonts w:ascii="Arial" w:hAnsi="Arial" w:cs="Arial"/>
                <w:b/>
                <w:sz w:val="17"/>
                <w:szCs w:val="17"/>
              </w:rPr>
            </w:pPr>
            <w:r w:rsidRPr="001E1BE9">
              <w:rPr>
                <w:rFonts w:ascii="Arial" w:hAnsi="Arial" w:cs="Arial"/>
                <w:b/>
                <w:sz w:val="17"/>
                <w:szCs w:val="17"/>
              </w:rPr>
              <w:t xml:space="preserve"> 1,711,516,987 </w:t>
            </w:r>
          </w:p>
        </w:tc>
        <w:tc>
          <w:tcPr>
            <w:tcW w:w="2180" w:type="dxa"/>
            <w:tcBorders>
              <w:top w:val="nil"/>
              <w:left w:val="single" w:sz="4" w:space="0" w:color="auto"/>
              <w:bottom w:val="single" w:sz="4" w:space="0" w:color="auto"/>
              <w:right w:val="single" w:sz="4" w:space="0" w:color="auto"/>
            </w:tcBorders>
            <w:shd w:val="clear" w:color="000000" w:fill="FFFFFF"/>
          </w:tcPr>
          <w:p w:rsidR="001E1BE9" w:rsidRPr="001E1BE9" w:rsidRDefault="001E1BE9" w:rsidP="001E1BE9">
            <w:pPr>
              <w:jc w:val="right"/>
              <w:rPr>
                <w:rFonts w:ascii="Arial" w:hAnsi="Arial" w:cs="Arial"/>
                <w:b/>
                <w:sz w:val="17"/>
                <w:szCs w:val="17"/>
              </w:rPr>
            </w:pPr>
            <w:r w:rsidRPr="001E1BE9">
              <w:rPr>
                <w:rFonts w:ascii="Arial" w:hAnsi="Arial" w:cs="Arial"/>
                <w:b/>
                <w:sz w:val="17"/>
                <w:szCs w:val="17"/>
              </w:rPr>
              <w:t xml:space="preserve"> 1,631,282,767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3F4E07">
        <w:rPr>
          <w:rFonts w:ascii="Arial" w:eastAsia="Calibri" w:hAnsi="Arial" w:cs="Arial"/>
          <w:spacing w:val="-1"/>
          <w:sz w:val="17"/>
          <w:szCs w:val="17"/>
        </w:rPr>
        <w:t>in</w:t>
      </w:r>
      <w:r>
        <w:rPr>
          <w:rFonts w:ascii="Arial" w:eastAsia="Calibri" w:hAnsi="Arial" w:cs="Arial"/>
          <w:spacing w:val="-1"/>
          <w:sz w:val="17"/>
          <w:szCs w:val="17"/>
        </w:rPr>
        <w:t xml:space="preserve">cremento en las </w:t>
      </w:r>
      <w:r w:rsidRPr="002F3A90">
        <w:rPr>
          <w:rFonts w:ascii="Arial" w:eastAsia="Calibri" w:hAnsi="Arial" w:cs="Arial"/>
          <w:spacing w:val="-1"/>
          <w:sz w:val="17"/>
          <w:szCs w:val="17"/>
        </w:rPr>
        <w:t xml:space="preserve">Cuentas por Cobrar a Corto Plazo </w:t>
      </w:r>
      <w:r w:rsidR="003F4E07">
        <w:rPr>
          <w:rFonts w:ascii="Arial" w:eastAsia="Calibri" w:hAnsi="Arial" w:cs="Arial"/>
          <w:spacing w:val="-1"/>
          <w:sz w:val="17"/>
          <w:szCs w:val="17"/>
        </w:rPr>
        <w:t>obedece principalmente a</w:t>
      </w:r>
      <w:r>
        <w:rPr>
          <w:rFonts w:ascii="Arial" w:eastAsia="Calibri" w:hAnsi="Arial" w:cs="Arial"/>
          <w:spacing w:val="-1"/>
          <w:sz w:val="17"/>
          <w:szCs w:val="17"/>
        </w:rPr>
        <w:t xml:space="preserve">l </w:t>
      </w:r>
      <w:r w:rsidR="003F4E07">
        <w:rPr>
          <w:rFonts w:ascii="Arial" w:eastAsia="Calibri" w:hAnsi="Arial" w:cs="Arial"/>
          <w:spacing w:val="-1"/>
          <w:sz w:val="17"/>
          <w:szCs w:val="17"/>
        </w:rPr>
        <w:t>aumento</w:t>
      </w:r>
      <w:r w:rsidR="000A6857">
        <w:rPr>
          <w:rFonts w:ascii="Arial" w:eastAsia="Calibri" w:hAnsi="Arial" w:cs="Arial"/>
          <w:spacing w:val="-1"/>
          <w:sz w:val="17"/>
          <w:szCs w:val="17"/>
        </w:rPr>
        <w:t xml:space="preserve"> que </w:t>
      </w:r>
      <w:r>
        <w:rPr>
          <w:rFonts w:ascii="Arial" w:eastAsia="Calibri" w:hAnsi="Arial" w:cs="Arial"/>
          <w:spacing w:val="-1"/>
          <w:sz w:val="17"/>
          <w:szCs w:val="17"/>
        </w:rPr>
        <w:t>experiment</w:t>
      </w:r>
      <w:r w:rsidR="000A6857">
        <w:rPr>
          <w:rFonts w:ascii="Arial" w:eastAsia="Calibri" w:hAnsi="Arial" w:cs="Arial"/>
          <w:spacing w:val="-1"/>
          <w:sz w:val="17"/>
          <w:szCs w:val="17"/>
        </w:rPr>
        <w:t xml:space="preserve">ó </w:t>
      </w:r>
      <w:r>
        <w:rPr>
          <w:rFonts w:ascii="Arial" w:eastAsia="Calibri" w:hAnsi="Arial" w:cs="Arial"/>
          <w:spacing w:val="-1"/>
          <w:sz w:val="17"/>
          <w:szCs w:val="17"/>
        </w:rPr>
        <w:t xml:space="preserve">la </w:t>
      </w:r>
      <w:r w:rsidR="003F4E07" w:rsidRPr="003F4E07">
        <w:rPr>
          <w:rFonts w:ascii="Arial" w:eastAsia="Calibri" w:hAnsi="Arial" w:cs="Arial"/>
          <w:spacing w:val="-1"/>
          <w:sz w:val="17"/>
          <w:szCs w:val="17"/>
        </w:rPr>
        <w:t>Comisión Estatal de Aguas</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A6857" w:rsidRPr="002D70DA" w:rsidTr="003F4E0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3F4E07" w:rsidRPr="002D70DA" w:rsidTr="003F4E0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4E07" w:rsidRPr="002273AF" w:rsidRDefault="003F4E07" w:rsidP="003F4E07">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3F4E07" w:rsidRPr="003F4E07" w:rsidRDefault="003F4E07" w:rsidP="003F4E07">
            <w:pPr>
              <w:jc w:val="right"/>
              <w:rPr>
                <w:rFonts w:ascii="Arial" w:hAnsi="Arial" w:cs="Arial"/>
                <w:sz w:val="17"/>
                <w:szCs w:val="17"/>
              </w:rPr>
            </w:pPr>
            <w:r w:rsidRPr="003F4E07">
              <w:rPr>
                <w:rFonts w:ascii="Arial" w:hAnsi="Arial" w:cs="Arial"/>
                <w:sz w:val="17"/>
                <w:szCs w:val="17"/>
              </w:rPr>
              <w:t xml:space="preserve">1,636,923,108 </w:t>
            </w:r>
          </w:p>
        </w:tc>
        <w:tc>
          <w:tcPr>
            <w:tcW w:w="2180" w:type="dxa"/>
            <w:tcBorders>
              <w:top w:val="single" w:sz="4" w:space="0" w:color="auto"/>
              <w:left w:val="nil"/>
              <w:bottom w:val="single" w:sz="4" w:space="0" w:color="auto"/>
              <w:right w:val="single" w:sz="4" w:space="0" w:color="auto"/>
            </w:tcBorders>
            <w:shd w:val="clear" w:color="auto" w:fill="auto"/>
          </w:tcPr>
          <w:p w:rsidR="003F4E07" w:rsidRPr="003F4E07" w:rsidRDefault="003F4E07" w:rsidP="003F4E07">
            <w:pPr>
              <w:jc w:val="right"/>
              <w:rPr>
                <w:rFonts w:ascii="Arial" w:hAnsi="Arial" w:cs="Arial"/>
                <w:sz w:val="17"/>
                <w:szCs w:val="17"/>
              </w:rPr>
            </w:pPr>
            <w:r w:rsidRPr="003F4E07">
              <w:rPr>
                <w:rFonts w:ascii="Arial" w:hAnsi="Arial" w:cs="Arial"/>
                <w:sz w:val="17"/>
                <w:szCs w:val="17"/>
              </w:rPr>
              <w:t xml:space="preserve">1,596,477,507 </w:t>
            </w:r>
          </w:p>
        </w:tc>
      </w:tr>
      <w:tr w:rsidR="003F4E07" w:rsidRPr="002D70DA" w:rsidTr="003F4E0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4E07" w:rsidRPr="002273AF" w:rsidRDefault="003F4E07" w:rsidP="003F4E07">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3F4E07" w:rsidRPr="003F4E07" w:rsidRDefault="003F4E07" w:rsidP="003F4E07">
            <w:pPr>
              <w:jc w:val="right"/>
              <w:rPr>
                <w:rFonts w:ascii="Arial" w:hAnsi="Arial" w:cs="Arial"/>
                <w:sz w:val="17"/>
                <w:szCs w:val="17"/>
              </w:rPr>
            </w:pPr>
            <w:r w:rsidRPr="003F4E07">
              <w:rPr>
                <w:rFonts w:ascii="Arial" w:hAnsi="Arial" w:cs="Arial"/>
                <w:sz w:val="17"/>
                <w:szCs w:val="17"/>
              </w:rPr>
              <w:t xml:space="preserve">74,593,880 </w:t>
            </w:r>
          </w:p>
        </w:tc>
        <w:tc>
          <w:tcPr>
            <w:tcW w:w="2180" w:type="dxa"/>
            <w:tcBorders>
              <w:top w:val="single" w:sz="4" w:space="0" w:color="auto"/>
              <w:left w:val="nil"/>
              <w:bottom w:val="single" w:sz="4" w:space="0" w:color="auto"/>
              <w:right w:val="single" w:sz="4" w:space="0" w:color="auto"/>
            </w:tcBorders>
            <w:shd w:val="clear" w:color="auto" w:fill="auto"/>
          </w:tcPr>
          <w:p w:rsidR="003F4E07" w:rsidRPr="003F4E07" w:rsidRDefault="003F4E07" w:rsidP="003F4E07">
            <w:pPr>
              <w:jc w:val="right"/>
              <w:rPr>
                <w:rFonts w:ascii="Arial" w:hAnsi="Arial" w:cs="Arial"/>
                <w:sz w:val="17"/>
                <w:szCs w:val="17"/>
              </w:rPr>
            </w:pPr>
            <w:r w:rsidRPr="003F4E07">
              <w:rPr>
                <w:rFonts w:ascii="Arial" w:hAnsi="Arial" w:cs="Arial"/>
                <w:sz w:val="17"/>
                <w:szCs w:val="17"/>
              </w:rPr>
              <w:t xml:space="preserve">34,805,260 </w:t>
            </w:r>
          </w:p>
        </w:tc>
      </w:tr>
      <w:tr w:rsidR="003F4E07" w:rsidRPr="002D70DA" w:rsidTr="003F4E07">
        <w:trPr>
          <w:trHeight w:val="240"/>
          <w:jc w:val="center"/>
        </w:trPr>
        <w:tc>
          <w:tcPr>
            <w:tcW w:w="4900" w:type="dxa"/>
            <w:tcBorders>
              <w:top w:val="nil"/>
              <w:left w:val="nil"/>
              <w:bottom w:val="nil"/>
              <w:right w:val="single" w:sz="4" w:space="0" w:color="auto"/>
            </w:tcBorders>
            <w:shd w:val="clear" w:color="000000" w:fill="FFFFFF"/>
            <w:vAlign w:val="center"/>
            <w:hideMark/>
          </w:tcPr>
          <w:p w:rsidR="003F4E07" w:rsidRPr="002D70DA" w:rsidRDefault="003F4E07" w:rsidP="003F4E0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F4E07" w:rsidRPr="003F4E07" w:rsidRDefault="003F4E07" w:rsidP="003F4E07">
            <w:pPr>
              <w:jc w:val="right"/>
              <w:rPr>
                <w:rFonts w:ascii="Arial" w:hAnsi="Arial" w:cs="Arial"/>
                <w:b/>
                <w:sz w:val="17"/>
                <w:szCs w:val="17"/>
              </w:rPr>
            </w:pPr>
            <w:r w:rsidRPr="003F4E07">
              <w:rPr>
                <w:rFonts w:ascii="Arial" w:hAnsi="Arial" w:cs="Arial"/>
                <w:b/>
                <w:sz w:val="17"/>
                <w:szCs w:val="17"/>
              </w:rPr>
              <w:t xml:space="preserve">1,711,516,987 </w:t>
            </w:r>
          </w:p>
        </w:tc>
        <w:tc>
          <w:tcPr>
            <w:tcW w:w="2180" w:type="dxa"/>
            <w:tcBorders>
              <w:top w:val="nil"/>
              <w:left w:val="single" w:sz="4" w:space="0" w:color="auto"/>
              <w:bottom w:val="single" w:sz="4" w:space="0" w:color="auto"/>
              <w:right w:val="single" w:sz="4" w:space="0" w:color="auto"/>
            </w:tcBorders>
            <w:shd w:val="clear" w:color="000000" w:fill="FFFFFF"/>
          </w:tcPr>
          <w:p w:rsidR="003F4E07" w:rsidRPr="003F4E07" w:rsidRDefault="003F4E07" w:rsidP="003F4E07">
            <w:pPr>
              <w:jc w:val="right"/>
              <w:rPr>
                <w:rFonts w:ascii="Arial" w:hAnsi="Arial" w:cs="Arial"/>
                <w:b/>
                <w:sz w:val="17"/>
                <w:szCs w:val="17"/>
              </w:rPr>
            </w:pPr>
            <w:r w:rsidRPr="003F4E07">
              <w:rPr>
                <w:rFonts w:ascii="Arial" w:hAnsi="Arial" w:cs="Arial"/>
                <w:b/>
                <w:sz w:val="17"/>
                <w:szCs w:val="17"/>
              </w:rPr>
              <w:t xml:space="preserve">1,631,282,767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3F4E07" w:rsidRDefault="003F4E07">
      <w:pPr>
        <w:rPr>
          <w:rFonts w:ascii="Arial" w:eastAsia="Calibri" w:hAnsi="Arial" w:cs="Arial"/>
          <w:b/>
          <w:spacing w:val="-1"/>
          <w:sz w:val="17"/>
          <w:szCs w:val="17"/>
        </w:rPr>
      </w:pPr>
      <w:r>
        <w:rPr>
          <w:rFonts w:ascii="Arial" w:eastAsia="Calibri" w:hAnsi="Arial" w:cs="Arial"/>
          <w:b/>
          <w:spacing w:val="-1"/>
          <w:sz w:val="17"/>
          <w:szCs w:val="17"/>
        </w:rPr>
        <w:br w:type="page"/>
      </w: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lastRenderedPageBreak/>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DE3F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DE3F52" w:rsidRPr="002D70DA" w:rsidTr="00DE3F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3F52" w:rsidRPr="003C2199" w:rsidRDefault="00DE3F52" w:rsidP="00DE3F52">
            <w:pPr>
              <w:rPr>
                <w:rFonts w:ascii="Arial" w:hAnsi="Arial" w:cs="Arial"/>
                <w:sz w:val="17"/>
                <w:szCs w:val="17"/>
              </w:rPr>
            </w:pPr>
            <w:r w:rsidRPr="00DE3F52">
              <w:rPr>
                <w:rFonts w:ascii="Arial" w:hAnsi="Arial" w:cs="Arial"/>
                <w:sz w:val="17"/>
                <w:szCs w:val="17"/>
              </w:rPr>
              <w:t>Anticipo a Proveedores por Adquisición de Bienes y Prestación de Servicios a</w:t>
            </w:r>
            <w:r>
              <w:rPr>
                <w:rFonts w:ascii="Arial" w:hAnsi="Arial" w:cs="Arial"/>
                <w:sz w:val="17"/>
                <w:szCs w:val="17"/>
              </w:rPr>
              <w:t xml:space="preserve"> </w:t>
            </w:r>
            <w:r w:rsidRPr="00DE3F52">
              <w:rPr>
                <w:rFonts w:ascii="Arial" w:hAnsi="Arial" w:cs="Arial"/>
                <w:sz w:val="17"/>
                <w:szCs w:val="17"/>
              </w:rPr>
              <w:t>Corto Plazo</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 26,367,044 </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 29,372,880 </w:t>
            </w:r>
          </w:p>
        </w:tc>
      </w:tr>
      <w:tr w:rsidR="00DE3F52" w:rsidRPr="002D70DA" w:rsidTr="00DE3F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3F52" w:rsidRPr="003C2199" w:rsidRDefault="00DE3F52" w:rsidP="00DE3F52">
            <w:pPr>
              <w:rPr>
                <w:rFonts w:ascii="Arial" w:hAnsi="Arial" w:cs="Arial"/>
                <w:sz w:val="17"/>
                <w:szCs w:val="17"/>
              </w:rPr>
            </w:pPr>
            <w:r w:rsidRPr="00DE3F52">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 51,988,366 </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 86,742,065 </w:t>
            </w:r>
          </w:p>
        </w:tc>
      </w:tr>
      <w:tr w:rsidR="00DE3F52" w:rsidRPr="007C1336" w:rsidTr="00DE3F52">
        <w:trPr>
          <w:trHeight w:val="240"/>
          <w:jc w:val="center"/>
        </w:trPr>
        <w:tc>
          <w:tcPr>
            <w:tcW w:w="4900" w:type="dxa"/>
            <w:tcBorders>
              <w:top w:val="nil"/>
              <w:left w:val="nil"/>
              <w:bottom w:val="nil"/>
              <w:right w:val="single" w:sz="4" w:space="0" w:color="auto"/>
            </w:tcBorders>
            <w:shd w:val="clear" w:color="000000" w:fill="FFFFFF"/>
            <w:vAlign w:val="center"/>
            <w:hideMark/>
          </w:tcPr>
          <w:p w:rsidR="00DE3F52" w:rsidRPr="003C2199" w:rsidRDefault="00DE3F52" w:rsidP="00DE3F52">
            <w:pPr>
              <w:rPr>
                <w:rFonts w:ascii="Arial" w:hAnsi="Arial" w:cs="Arial"/>
                <w:sz w:val="17"/>
                <w:szCs w:val="17"/>
              </w:rPr>
            </w:pPr>
            <w:r w:rsidRPr="003C2199">
              <w:rPr>
                <w:rFonts w:ascii="Arial" w:hAnsi="Arial" w:cs="Arial"/>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tcPr>
          <w:p w:rsidR="00DE3F52" w:rsidRPr="00DE3F52" w:rsidRDefault="00DE3F52" w:rsidP="00DE3F52">
            <w:pPr>
              <w:jc w:val="right"/>
              <w:rPr>
                <w:rFonts w:ascii="Arial" w:hAnsi="Arial" w:cs="Arial"/>
                <w:b/>
                <w:sz w:val="17"/>
                <w:szCs w:val="17"/>
              </w:rPr>
            </w:pPr>
            <w:r w:rsidRPr="00DE3F52">
              <w:rPr>
                <w:rFonts w:ascii="Arial" w:hAnsi="Arial" w:cs="Arial"/>
                <w:b/>
                <w:sz w:val="17"/>
                <w:szCs w:val="17"/>
              </w:rPr>
              <w:t xml:space="preserve"> 78,355,410 </w:t>
            </w:r>
          </w:p>
        </w:tc>
        <w:tc>
          <w:tcPr>
            <w:tcW w:w="2180" w:type="dxa"/>
            <w:tcBorders>
              <w:top w:val="nil"/>
              <w:left w:val="single" w:sz="4" w:space="0" w:color="auto"/>
              <w:bottom w:val="single" w:sz="4" w:space="0" w:color="auto"/>
              <w:right w:val="single" w:sz="4" w:space="0" w:color="auto"/>
            </w:tcBorders>
            <w:shd w:val="clear" w:color="000000" w:fill="FFFFFF"/>
          </w:tcPr>
          <w:p w:rsidR="00DE3F52" w:rsidRPr="00DE3F52" w:rsidRDefault="00DE3F52" w:rsidP="00DE3F52">
            <w:pPr>
              <w:jc w:val="right"/>
              <w:rPr>
                <w:rFonts w:ascii="Arial" w:hAnsi="Arial" w:cs="Arial"/>
                <w:b/>
                <w:sz w:val="17"/>
                <w:szCs w:val="17"/>
              </w:rPr>
            </w:pPr>
            <w:r w:rsidRPr="00DE3F52">
              <w:rPr>
                <w:rFonts w:ascii="Arial" w:hAnsi="Arial" w:cs="Arial"/>
                <w:b/>
                <w:sz w:val="17"/>
                <w:szCs w:val="17"/>
              </w:rPr>
              <w:t xml:space="preserve"> 116,114,945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E</w:t>
      </w:r>
      <w:r w:rsidR="00822A6D">
        <w:rPr>
          <w:rFonts w:ascii="Arial" w:eastAsia="Calibri" w:hAnsi="Arial" w:cs="Arial"/>
          <w:spacing w:val="-1"/>
          <w:sz w:val="17"/>
          <w:szCs w:val="17"/>
        </w:rPr>
        <w:t>l de</w:t>
      </w:r>
      <w:r w:rsidRPr="00CE0DEE">
        <w:rPr>
          <w:rFonts w:ascii="Arial" w:eastAsia="Calibri" w:hAnsi="Arial" w:cs="Arial"/>
          <w:spacing w:val="-1"/>
          <w:sz w:val="17"/>
          <w:szCs w:val="17"/>
        </w:rPr>
        <w:t xml:space="preserve">cremento obedece </w:t>
      </w:r>
      <w:r w:rsidR="00822A6D">
        <w:rPr>
          <w:rFonts w:ascii="Arial" w:eastAsia="Calibri" w:hAnsi="Arial" w:cs="Arial"/>
          <w:spacing w:val="-1"/>
          <w:sz w:val="17"/>
          <w:szCs w:val="17"/>
        </w:rPr>
        <w:t xml:space="preserve">principalmente </w:t>
      </w:r>
      <w:r w:rsidRPr="00CE0DEE">
        <w:rPr>
          <w:rFonts w:ascii="Arial" w:eastAsia="Calibri" w:hAnsi="Arial" w:cs="Arial"/>
          <w:spacing w:val="-1"/>
          <w:sz w:val="17"/>
          <w:szCs w:val="17"/>
        </w:rPr>
        <w:t xml:space="preserve">a la </w:t>
      </w:r>
      <w:r w:rsidR="00822A6D">
        <w:rPr>
          <w:rFonts w:ascii="Arial" w:eastAsia="Calibri" w:hAnsi="Arial" w:cs="Arial"/>
          <w:spacing w:val="-1"/>
          <w:sz w:val="17"/>
          <w:szCs w:val="17"/>
        </w:rPr>
        <w:t>amortiz</w:t>
      </w:r>
      <w:r w:rsidRPr="00CE0DEE">
        <w:rPr>
          <w:rFonts w:ascii="Arial" w:eastAsia="Calibri" w:hAnsi="Arial" w:cs="Arial"/>
          <w:spacing w:val="-1"/>
          <w:sz w:val="17"/>
          <w:szCs w:val="17"/>
        </w:rPr>
        <w:t xml:space="preserve">ación de </w:t>
      </w:r>
      <w:r w:rsidR="00822A6D">
        <w:rPr>
          <w:rFonts w:ascii="Arial" w:eastAsia="Calibri" w:hAnsi="Arial" w:cs="Arial"/>
          <w:spacing w:val="-1"/>
          <w:sz w:val="17"/>
          <w:szCs w:val="17"/>
        </w:rPr>
        <w:t xml:space="preserve">Anticipos a Contratistas por Obras Públicas a Corto Plazo </w:t>
      </w:r>
      <w:r>
        <w:rPr>
          <w:rFonts w:ascii="Arial" w:eastAsia="Calibri" w:hAnsi="Arial" w:cs="Arial"/>
          <w:spacing w:val="-1"/>
          <w:sz w:val="17"/>
          <w:szCs w:val="17"/>
        </w:rPr>
        <w:t>por parte de</w:t>
      </w:r>
      <w:r w:rsidR="00E43529">
        <w:rPr>
          <w:rFonts w:ascii="Arial" w:eastAsia="Calibri" w:hAnsi="Arial" w:cs="Arial"/>
          <w:spacing w:val="-1"/>
          <w:sz w:val="17"/>
          <w:szCs w:val="17"/>
        </w:rPr>
        <w:t xml:space="preserve"> </w:t>
      </w:r>
      <w:r>
        <w:rPr>
          <w:rFonts w:ascii="Arial" w:eastAsia="Calibri" w:hAnsi="Arial" w:cs="Arial"/>
          <w:spacing w:val="-1"/>
          <w:sz w:val="17"/>
          <w:szCs w:val="17"/>
        </w:rPr>
        <w:t>l</w:t>
      </w:r>
      <w:r w:rsidR="00E43529">
        <w:rPr>
          <w:rFonts w:ascii="Arial" w:eastAsia="Calibri" w:hAnsi="Arial" w:cs="Arial"/>
          <w:spacing w:val="-1"/>
          <w:sz w:val="17"/>
          <w:szCs w:val="17"/>
        </w:rPr>
        <w:t>a</w:t>
      </w:r>
      <w:r>
        <w:rPr>
          <w:rFonts w:ascii="Arial" w:eastAsia="Calibri" w:hAnsi="Arial" w:cs="Arial"/>
          <w:spacing w:val="-1"/>
          <w:sz w:val="17"/>
          <w:szCs w:val="17"/>
        </w:rPr>
        <w:t xml:space="preserve"> </w:t>
      </w:r>
      <w:r w:rsidR="00DE3F52" w:rsidRPr="003F4E07">
        <w:rPr>
          <w:rFonts w:ascii="Arial" w:eastAsia="Calibri" w:hAnsi="Arial" w:cs="Arial"/>
          <w:spacing w:val="-1"/>
          <w:sz w:val="17"/>
          <w:szCs w:val="17"/>
        </w:rPr>
        <w:t>Comisión Estatal de Aguas</w:t>
      </w:r>
      <w:r>
        <w:rPr>
          <w:rFonts w:ascii="Arial" w:eastAsia="Calibri" w:hAnsi="Arial" w:cs="Arial"/>
          <w:spacing w:val="-1"/>
          <w:sz w:val="17"/>
          <w:szCs w:val="17"/>
        </w:rPr>
        <w:t>.</w:t>
      </w:r>
    </w:p>
    <w:p w:rsidR="00BD4604" w:rsidRDefault="00BD4604">
      <w:pPr>
        <w:rPr>
          <w:rFonts w:ascii="Arial" w:eastAsia="Calibri" w:hAnsi="Arial" w:cs="Arial"/>
          <w:spacing w:val="-1"/>
          <w:sz w:val="17"/>
          <w:szCs w:val="17"/>
        </w:rPr>
      </w:pP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22A6D" w:rsidRPr="002D70DA" w:rsidTr="00DE3F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DE3F52" w:rsidRPr="002D70DA" w:rsidTr="00DE3F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3F52" w:rsidRPr="002273AF" w:rsidRDefault="00DE3F52" w:rsidP="00DE3F52">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78,027,715 </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115,787,250 </w:t>
            </w:r>
          </w:p>
        </w:tc>
      </w:tr>
      <w:tr w:rsidR="00DE3F52" w:rsidRPr="002D70DA" w:rsidTr="00DE3F5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3F52" w:rsidRPr="002273AF" w:rsidRDefault="00DE3F52" w:rsidP="00DE3F52">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327,695 </w:t>
            </w:r>
          </w:p>
        </w:tc>
        <w:tc>
          <w:tcPr>
            <w:tcW w:w="2180" w:type="dxa"/>
            <w:tcBorders>
              <w:top w:val="single" w:sz="4" w:space="0" w:color="auto"/>
              <w:left w:val="nil"/>
              <w:bottom w:val="single" w:sz="4" w:space="0" w:color="auto"/>
              <w:right w:val="single" w:sz="4" w:space="0" w:color="auto"/>
            </w:tcBorders>
            <w:shd w:val="clear" w:color="auto" w:fill="auto"/>
          </w:tcPr>
          <w:p w:rsidR="00DE3F52" w:rsidRPr="00DE3F52" w:rsidRDefault="00DE3F52" w:rsidP="00DE3F52">
            <w:pPr>
              <w:jc w:val="right"/>
              <w:rPr>
                <w:rFonts w:ascii="Arial" w:hAnsi="Arial" w:cs="Arial"/>
                <w:sz w:val="17"/>
                <w:szCs w:val="17"/>
              </w:rPr>
            </w:pPr>
            <w:r w:rsidRPr="00DE3F52">
              <w:rPr>
                <w:rFonts w:ascii="Arial" w:hAnsi="Arial" w:cs="Arial"/>
                <w:sz w:val="17"/>
                <w:szCs w:val="17"/>
              </w:rPr>
              <w:t xml:space="preserve">327,695 </w:t>
            </w:r>
          </w:p>
        </w:tc>
      </w:tr>
      <w:tr w:rsidR="00DE3F52" w:rsidRPr="002D70DA" w:rsidTr="00DE3F52">
        <w:trPr>
          <w:trHeight w:val="240"/>
          <w:jc w:val="center"/>
        </w:trPr>
        <w:tc>
          <w:tcPr>
            <w:tcW w:w="4900" w:type="dxa"/>
            <w:tcBorders>
              <w:top w:val="nil"/>
              <w:left w:val="nil"/>
              <w:bottom w:val="nil"/>
              <w:right w:val="single" w:sz="4" w:space="0" w:color="auto"/>
            </w:tcBorders>
            <w:shd w:val="clear" w:color="000000" w:fill="FFFFFF"/>
            <w:vAlign w:val="center"/>
            <w:hideMark/>
          </w:tcPr>
          <w:p w:rsidR="00DE3F52" w:rsidRPr="002D70DA" w:rsidRDefault="00DE3F52" w:rsidP="00DE3F5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E3F52" w:rsidRPr="00DE3F52" w:rsidRDefault="00DE3F52" w:rsidP="00DE3F52">
            <w:pPr>
              <w:jc w:val="right"/>
              <w:rPr>
                <w:rFonts w:ascii="Arial" w:hAnsi="Arial" w:cs="Arial"/>
                <w:b/>
                <w:sz w:val="17"/>
                <w:szCs w:val="17"/>
              </w:rPr>
            </w:pPr>
            <w:r w:rsidRPr="00DE3F52">
              <w:rPr>
                <w:rFonts w:ascii="Arial" w:hAnsi="Arial" w:cs="Arial"/>
                <w:b/>
                <w:sz w:val="17"/>
                <w:szCs w:val="17"/>
              </w:rPr>
              <w:t xml:space="preserve">78,355,410 </w:t>
            </w:r>
          </w:p>
        </w:tc>
        <w:tc>
          <w:tcPr>
            <w:tcW w:w="2180" w:type="dxa"/>
            <w:tcBorders>
              <w:top w:val="nil"/>
              <w:left w:val="single" w:sz="4" w:space="0" w:color="auto"/>
              <w:bottom w:val="single" w:sz="4" w:space="0" w:color="auto"/>
              <w:right w:val="single" w:sz="4" w:space="0" w:color="auto"/>
            </w:tcBorders>
            <w:shd w:val="clear" w:color="000000" w:fill="FFFFFF"/>
          </w:tcPr>
          <w:p w:rsidR="00DE3F52" w:rsidRPr="00DE3F52" w:rsidRDefault="00DE3F52" w:rsidP="00DE3F52">
            <w:pPr>
              <w:jc w:val="right"/>
              <w:rPr>
                <w:rFonts w:ascii="Arial" w:hAnsi="Arial" w:cs="Arial"/>
                <w:b/>
                <w:sz w:val="17"/>
                <w:szCs w:val="17"/>
              </w:rPr>
            </w:pPr>
            <w:r w:rsidRPr="00DE3F52">
              <w:rPr>
                <w:rFonts w:ascii="Arial" w:hAnsi="Arial" w:cs="Arial"/>
                <w:b/>
                <w:sz w:val="17"/>
                <w:szCs w:val="17"/>
              </w:rPr>
              <w:t xml:space="preserve">116,114,945 </w:t>
            </w:r>
          </w:p>
        </w:tc>
      </w:tr>
    </w:tbl>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1A4EF9" w:rsidRPr="002D70DA" w:rsidRDefault="001A4EF9" w:rsidP="001A4EF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4EF9" w:rsidRPr="002D70DA" w:rsidTr="001A4E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4EF9" w:rsidRPr="002D70DA" w:rsidRDefault="001A4EF9" w:rsidP="00A6400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A4EF9" w:rsidP="00A64009">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A4EF9" w:rsidP="00A64009">
            <w:pPr>
              <w:jc w:val="center"/>
              <w:rPr>
                <w:rFonts w:ascii="Arial" w:hAnsi="Arial" w:cs="Arial"/>
                <w:b/>
                <w:bCs/>
                <w:color w:val="000000"/>
                <w:sz w:val="17"/>
                <w:szCs w:val="17"/>
              </w:rPr>
            </w:pPr>
            <w:r>
              <w:rPr>
                <w:rFonts w:ascii="Arial" w:hAnsi="Arial" w:cs="Arial"/>
                <w:b/>
                <w:bCs/>
                <w:color w:val="000000"/>
                <w:sz w:val="17"/>
                <w:szCs w:val="17"/>
              </w:rPr>
              <w:t>2018</w:t>
            </w:r>
          </w:p>
        </w:tc>
      </w:tr>
      <w:tr w:rsidR="001A4EF9" w:rsidRPr="002D70DA" w:rsidTr="001A4E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4EF9" w:rsidRPr="002273AF" w:rsidRDefault="001A4EF9" w:rsidP="001A4EF9">
            <w:pPr>
              <w:rPr>
                <w:rFonts w:ascii="Arial" w:hAnsi="Arial" w:cs="Arial"/>
                <w:sz w:val="17"/>
                <w:szCs w:val="17"/>
              </w:rPr>
            </w:pPr>
            <w:r w:rsidRPr="001A4EF9">
              <w:rPr>
                <w:rFonts w:ascii="Arial" w:hAnsi="Arial" w:cs="Arial"/>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 3,030,199 </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 3,030,199 </w:t>
            </w:r>
          </w:p>
        </w:tc>
      </w:tr>
      <w:tr w:rsidR="001A4EF9" w:rsidRPr="002D70DA" w:rsidTr="001A4E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4EF9" w:rsidRPr="002273AF" w:rsidRDefault="001A4EF9" w:rsidP="001A4EF9">
            <w:pPr>
              <w:rPr>
                <w:rFonts w:ascii="Arial" w:hAnsi="Arial" w:cs="Arial"/>
                <w:sz w:val="17"/>
                <w:szCs w:val="17"/>
              </w:rPr>
            </w:pPr>
            <w:r w:rsidRPr="001A4EF9">
              <w:rPr>
                <w:rFonts w:ascii="Arial" w:hAnsi="Arial" w:cs="Arial"/>
                <w:sz w:val="17"/>
                <w:szCs w:val="17"/>
              </w:rPr>
              <w:t>Bienes en Garantía (excluye depósitos de fondos)</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 18,264 </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 -   </w:t>
            </w:r>
          </w:p>
        </w:tc>
      </w:tr>
      <w:tr w:rsidR="001A4EF9" w:rsidRPr="002D70DA" w:rsidTr="001A4EF9">
        <w:trPr>
          <w:trHeight w:val="240"/>
          <w:jc w:val="center"/>
        </w:trPr>
        <w:tc>
          <w:tcPr>
            <w:tcW w:w="4900" w:type="dxa"/>
            <w:tcBorders>
              <w:top w:val="nil"/>
              <w:left w:val="nil"/>
              <w:bottom w:val="nil"/>
              <w:right w:val="single" w:sz="4" w:space="0" w:color="auto"/>
            </w:tcBorders>
            <w:shd w:val="clear" w:color="000000" w:fill="FFFFFF"/>
            <w:vAlign w:val="center"/>
            <w:hideMark/>
          </w:tcPr>
          <w:p w:rsidR="001A4EF9" w:rsidRPr="002D70DA" w:rsidRDefault="001A4EF9" w:rsidP="001A4EF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A4EF9" w:rsidRPr="001A4EF9" w:rsidRDefault="001A4EF9" w:rsidP="001A4EF9">
            <w:pPr>
              <w:jc w:val="right"/>
              <w:rPr>
                <w:rFonts w:ascii="Arial" w:hAnsi="Arial" w:cs="Arial"/>
                <w:b/>
                <w:sz w:val="17"/>
                <w:szCs w:val="17"/>
              </w:rPr>
            </w:pPr>
            <w:r w:rsidRPr="001A4EF9">
              <w:rPr>
                <w:rFonts w:ascii="Arial" w:hAnsi="Arial" w:cs="Arial"/>
                <w:b/>
                <w:sz w:val="17"/>
                <w:szCs w:val="17"/>
              </w:rPr>
              <w:t xml:space="preserve"> 3,048,463 </w:t>
            </w:r>
          </w:p>
        </w:tc>
        <w:tc>
          <w:tcPr>
            <w:tcW w:w="2180" w:type="dxa"/>
            <w:tcBorders>
              <w:top w:val="nil"/>
              <w:left w:val="single" w:sz="4" w:space="0" w:color="auto"/>
              <w:bottom w:val="single" w:sz="4" w:space="0" w:color="auto"/>
              <w:right w:val="single" w:sz="4" w:space="0" w:color="auto"/>
            </w:tcBorders>
            <w:shd w:val="clear" w:color="000000" w:fill="FFFFFF"/>
          </w:tcPr>
          <w:p w:rsidR="001A4EF9" w:rsidRPr="001A4EF9" w:rsidRDefault="001A4EF9" w:rsidP="001A4EF9">
            <w:pPr>
              <w:jc w:val="right"/>
              <w:rPr>
                <w:rFonts w:ascii="Arial" w:hAnsi="Arial" w:cs="Arial"/>
                <w:b/>
                <w:sz w:val="17"/>
                <w:szCs w:val="17"/>
              </w:rPr>
            </w:pPr>
            <w:r w:rsidRPr="001A4EF9">
              <w:rPr>
                <w:rFonts w:ascii="Arial" w:hAnsi="Arial" w:cs="Arial"/>
                <w:b/>
                <w:sz w:val="17"/>
                <w:szCs w:val="17"/>
              </w:rPr>
              <w:t xml:space="preserve"> 3,030,199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4EF9" w:rsidRPr="002D70DA" w:rsidTr="001A4E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4EF9" w:rsidRPr="002D70DA" w:rsidRDefault="001A4EF9" w:rsidP="00A64009">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A4EF9" w:rsidP="00A64009">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A4EF9" w:rsidP="00A64009">
            <w:pPr>
              <w:jc w:val="center"/>
              <w:rPr>
                <w:rFonts w:ascii="Arial" w:hAnsi="Arial" w:cs="Arial"/>
                <w:b/>
                <w:bCs/>
                <w:color w:val="000000"/>
                <w:sz w:val="17"/>
                <w:szCs w:val="17"/>
              </w:rPr>
            </w:pPr>
            <w:r>
              <w:rPr>
                <w:rFonts w:ascii="Arial" w:hAnsi="Arial" w:cs="Arial"/>
                <w:b/>
                <w:bCs/>
                <w:color w:val="000000"/>
                <w:sz w:val="17"/>
                <w:szCs w:val="17"/>
              </w:rPr>
              <w:t>2018</w:t>
            </w:r>
          </w:p>
        </w:tc>
      </w:tr>
      <w:tr w:rsidR="001A4EF9" w:rsidRPr="002D70DA" w:rsidTr="001A4E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4EF9" w:rsidRPr="002273AF" w:rsidRDefault="001A4EF9" w:rsidP="001A4EF9">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3,048,463 </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3,048,463 </w:t>
            </w:r>
          </w:p>
        </w:tc>
      </w:tr>
      <w:tr w:rsidR="001A4EF9" w:rsidRPr="002D70DA" w:rsidTr="001A4E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4EF9" w:rsidRPr="002273AF" w:rsidRDefault="001A4EF9" w:rsidP="001A4EF9">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-18,264 </w:t>
            </w:r>
          </w:p>
        </w:tc>
      </w:tr>
      <w:tr w:rsidR="001A4EF9" w:rsidRPr="002D70DA" w:rsidTr="001A4EF9">
        <w:trPr>
          <w:trHeight w:val="240"/>
          <w:jc w:val="center"/>
        </w:trPr>
        <w:tc>
          <w:tcPr>
            <w:tcW w:w="4900" w:type="dxa"/>
            <w:tcBorders>
              <w:top w:val="nil"/>
              <w:left w:val="nil"/>
              <w:bottom w:val="nil"/>
              <w:right w:val="single" w:sz="4" w:space="0" w:color="auto"/>
            </w:tcBorders>
            <w:shd w:val="clear" w:color="000000" w:fill="FFFFFF"/>
            <w:vAlign w:val="center"/>
            <w:hideMark/>
          </w:tcPr>
          <w:p w:rsidR="001A4EF9" w:rsidRPr="002D70DA" w:rsidRDefault="001A4EF9" w:rsidP="001A4EF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A4EF9" w:rsidRPr="001A4EF9" w:rsidRDefault="001A4EF9" w:rsidP="001A4EF9">
            <w:pPr>
              <w:jc w:val="right"/>
              <w:rPr>
                <w:rFonts w:ascii="Arial" w:hAnsi="Arial" w:cs="Arial"/>
                <w:b/>
                <w:sz w:val="17"/>
                <w:szCs w:val="17"/>
              </w:rPr>
            </w:pPr>
            <w:r w:rsidRPr="001A4EF9">
              <w:rPr>
                <w:rFonts w:ascii="Arial" w:hAnsi="Arial" w:cs="Arial"/>
                <w:b/>
                <w:sz w:val="17"/>
                <w:szCs w:val="17"/>
              </w:rPr>
              <w:t xml:space="preserve">3,048,463 </w:t>
            </w:r>
          </w:p>
        </w:tc>
        <w:tc>
          <w:tcPr>
            <w:tcW w:w="2180" w:type="dxa"/>
            <w:tcBorders>
              <w:top w:val="nil"/>
              <w:left w:val="single" w:sz="4" w:space="0" w:color="auto"/>
              <w:bottom w:val="single" w:sz="4" w:space="0" w:color="auto"/>
              <w:right w:val="single" w:sz="4" w:space="0" w:color="auto"/>
            </w:tcBorders>
            <w:shd w:val="clear" w:color="000000" w:fill="FFFFFF"/>
          </w:tcPr>
          <w:p w:rsidR="001A4EF9" w:rsidRPr="001A4EF9" w:rsidRDefault="001A4EF9" w:rsidP="001A4EF9">
            <w:pPr>
              <w:jc w:val="right"/>
              <w:rPr>
                <w:rFonts w:ascii="Arial" w:hAnsi="Arial" w:cs="Arial"/>
                <w:b/>
                <w:sz w:val="17"/>
                <w:szCs w:val="17"/>
              </w:rPr>
            </w:pPr>
            <w:r w:rsidRPr="001A4EF9">
              <w:rPr>
                <w:rFonts w:ascii="Arial" w:hAnsi="Arial" w:cs="Arial"/>
                <w:b/>
                <w:sz w:val="17"/>
                <w:szCs w:val="17"/>
              </w:rPr>
              <w:t xml:space="preserve">3,030,199 </w:t>
            </w:r>
          </w:p>
        </w:tc>
      </w:tr>
    </w:tbl>
    <w:p w:rsidR="0068468D" w:rsidRDefault="0068468D" w:rsidP="0068468D">
      <w:pPr>
        <w:spacing w:before="80" w:line="250" w:lineRule="exact"/>
        <w:ind w:left="709"/>
        <w:jc w:val="both"/>
        <w:rPr>
          <w:rFonts w:ascii="Arial" w:eastAsia="Calibri" w:hAnsi="Arial" w:cs="Arial"/>
          <w:spacing w:val="-1"/>
          <w:sz w:val="17"/>
          <w:szCs w:val="17"/>
        </w:rPr>
      </w:pPr>
    </w:p>
    <w:p w:rsidR="000204BD" w:rsidRPr="002D70DA" w:rsidRDefault="000204BD" w:rsidP="000204BD">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204BD">
        <w:rPr>
          <w:rFonts w:ascii="Arial" w:eastAsia="Calibri" w:hAnsi="Arial" w:cs="Arial"/>
          <w:b/>
          <w:spacing w:val="-1"/>
          <w:sz w:val="17"/>
          <w:szCs w:val="17"/>
        </w:rPr>
        <w:lastRenderedPageBreak/>
        <w:t>Inversiones Financieras a Largo Plazo</w:t>
      </w:r>
      <w:r w:rsidRPr="002D70DA">
        <w:rPr>
          <w:rFonts w:ascii="Arial" w:eastAsia="Calibri" w:hAnsi="Arial" w:cs="Arial"/>
          <w:b/>
          <w:spacing w:val="-1"/>
          <w:sz w:val="17"/>
          <w:szCs w:val="17"/>
        </w:rPr>
        <w:t>:</w:t>
      </w:r>
    </w:p>
    <w:p w:rsidR="000204BD" w:rsidRDefault="000204BD" w:rsidP="000204BD">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w:t>
      </w:r>
      <w:r>
        <w:rPr>
          <w:rFonts w:ascii="Arial" w:eastAsia="Calibri" w:hAnsi="Arial" w:cs="Arial"/>
          <w:spacing w:val="-1"/>
          <w:sz w:val="17"/>
          <w:szCs w:val="17"/>
        </w:rPr>
        <w:t xml:space="preserve"> este rubro,</w:t>
      </w:r>
      <w:r>
        <w:rPr>
          <w:rFonts w:ascii="Arial" w:eastAsia="Calibri" w:hAnsi="Arial" w:cs="Arial"/>
          <w:spacing w:val="-1"/>
          <w:sz w:val="17"/>
          <w:szCs w:val="17"/>
        </w:rPr>
        <w:t xml:space="preserve">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Pr>
          <w:rFonts w:ascii="Arial" w:eastAsia="Calibri" w:hAnsi="Arial" w:cs="Arial"/>
          <w:spacing w:val="-1"/>
          <w:sz w:val="17"/>
          <w:szCs w:val="17"/>
        </w:rPr>
        <w:t xml:space="preserve">2019 </w:t>
      </w:r>
      <w:r>
        <w:rPr>
          <w:rFonts w:ascii="Arial" w:eastAsia="Calibri" w:hAnsi="Arial" w:cs="Arial"/>
          <w:spacing w:val="-1"/>
          <w:sz w:val="17"/>
          <w:szCs w:val="17"/>
        </w:rPr>
        <w:t>es de</w:t>
      </w:r>
      <w:r w:rsidRPr="000204BD">
        <w:rPr>
          <w:rFonts w:ascii="Arial" w:eastAsia="Calibri" w:hAnsi="Arial" w:cs="Arial"/>
          <w:spacing w:val="-1"/>
          <w:sz w:val="17"/>
          <w:szCs w:val="17"/>
        </w:rPr>
        <w:t xml:space="preserve"> 510</w:t>
      </w:r>
      <w:proofErr w:type="gramStart"/>
      <w:r w:rsidRPr="000204BD">
        <w:rPr>
          <w:rFonts w:ascii="Arial" w:eastAsia="Calibri" w:hAnsi="Arial" w:cs="Arial"/>
          <w:spacing w:val="-1"/>
          <w:sz w:val="17"/>
          <w:szCs w:val="17"/>
        </w:rPr>
        <w:t>,024,997</w:t>
      </w:r>
      <w:proofErr w:type="gramEnd"/>
      <w:r w:rsidRPr="000204BD">
        <w:rPr>
          <w:rFonts w:ascii="Arial" w:eastAsia="Calibri" w:hAnsi="Arial" w:cs="Arial"/>
          <w:spacing w:val="-1"/>
          <w:sz w:val="17"/>
          <w:szCs w:val="17"/>
        </w:rPr>
        <w:t xml:space="preserve"> </w:t>
      </w:r>
      <w:r>
        <w:rPr>
          <w:rFonts w:ascii="Arial" w:eastAsia="Calibri" w:hAnsi="Arial" w:cs="Arial"/>
          <w:spacing w:val="-1"/>
          <w:sz w:val="17"/>
          <w:szCs w:val="17"/>
        </w:rPr>
        <w:t>por concepto de</w:t>
      </w:r>
      <w:r w:rsidRPr="000204BD">
        <w:t xml:space="preserve"> </w:t>
      </w:r>
      <w:r w:rsidRPr="000204BD">
        <w:rPr>
          <w:rFonts w:ascii="Arial" w:eastAsia="Calibri" w:hAnsi="Arial" w:cs="Arial"/>
          <w:spacing w:val="-1"/>
          <w:sz w:val="17"/>
          <w:szCs w:val="17"/>
        </w:rPr>
        <w:t>Fideicomisos, Mandatos y Contratos Análogos</w:t>
      </w:r>
      <w:r>
        <w:rPr>
          <w:rFonts w:ascii="Arial" w:eastAsia="Calibri" w:hAnsi="Arial" w:cs="Arial"/>
          <w:spacing w:val="-1"/>
          <w:sz w:val="17"/>
          <w:szCs w:val="17"/>
        </w:rPr>
        <w:t xml:space="preserve"> por parte de la </w:t>
      </w:r>
      <w:r w:rsidRPr="000204BD">
        <w:rPr>
          <w:rFonts w:ascii="Arial" w:eastAsia="Calibri" w:hAnsi="Arial" w:cs="Arial"/>
          <w:spacing w:val="-1"/>
          <w:sz w:val="17"/>
          <w:szCs w:val="17"/>
        </w:rPr>
        <w:t>Comisión Estatal de Aguas</w:t>
      </w:r>
      <w:r>
        <w:rPr>
          <w:rFonts w:ascii="Arial" w:eastAsia="Calibri" w:hAnsi="Arial" w:cs="Arial"/>
          <w:spacing w:val="-1"/>
          <w:sz w:val="17"/>
          <w:szCs w:val="17"/>
        </w:rPr>
        <w:t>.</w:t>
      </w:r>
    </w:p>
    <w:p w:rsidR="000204BD" w:rsidRDefault="000204BD" w:rsidP="0068468D">
      <w:pPr>
        <w:spacing w:before="80" w:line="250" w:lineRule="exact"/>
        <w:ind w:left="709"/>
        <w:jc w:val="both"/>
        <w:rPr>
          <w:rFonts w:ascii="Arial" w:eastAsia="Calibri" w:hAnsi="Arial" w:cs="Arial"/>
          <w:spacing w:val="-1"/>
          <w:sz w:val="17"/>
          <w:szCs w:val="17"/>
        </w:rPr>
      </w:pP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899"/>
        <w:gridCol w:w="2181"/>
        <w:gridCol w:w="2180"/>
      </w:tblGrid>
      <w:tr w:rsidR="00012E6C" w:rsidRPr="002D70DA" w:rsidTr="00EB4A57">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2E6C" w:rsidRPr="002D70DA" w:rsidRDefault="00012E6C" w:rsidP="00A64009">
            <w:pPr>
              <w:jc w:val="center"/>
              <w:rPr>
                <w:rFonts w:ascii="Arial" w:hAnsi="Arial" w:cs="Arial"/>
                <w:b/>
                <w:bCs/>
                <w:color w:val="000000"/>
                <w:sz w:val="17"/>
                <w:szCs w:val="17"/>
              </w:rPr>
            </w:pPr>
            <w:r>
              <w:rPr>
                <w:rFonts w:ascii="Arial" w:hAnsi="Arial" w:cs="Arial"/>
                <w:b/>
                <w:bCs/>
                <w:color w:val="000000"/>
                <w:sz w:val="17"/>
                <w:szCs w:val="17"/>
              </w:rPr>
              <w:t>Entidad</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012E6C" w:rsidP="00A64009">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012E6C" w:rsidP="00A64009">
            <w:pPr>
              <w:jc w:val="center"/>
              <w:rPr>
                <w:rFonts w:ascii="Arial" w:hAnsi="Arial" w:cs="Arial"/>
                <w:b/>
                <w:bCs/>
                <w:color w:val="000000"/>
                <w:sz w:val="17"/>
                <w:szCs w:val="17"/>
              </w:rPr>
            </w:pPr>
            <w:r>
              <w:rPr>
                <w:rFonts w:ascii="Arial" w:hAnsi="Arial" w:cs="Arial"/>
                <w:b/>
                <w:bCs/>
                <w:color w:val="000000"/>
                <w:sz w:val="17"/>
                <w:szCs w:val="17"/>
              </w:rPr>
              <w:t>2018</w:t>
            </w:r>
          </w:p>
        </w:tc>
      </w:tr>
      <w:tr w:rsidR="00EB4A57" w:rsidRPr="002D70DA" w:rsidTr="00EB4A57">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EB4A57" w:rsidRPr="002273AF" w:rsidRDefault="00EB4A57" w:rsidP="00EB4A57">
            <w:pPr>
              <w:rPr>
                <w:rFonts w:ascii="Arial" w:hAnsi="Arial" w:cs="Arial"/>
                <w:sz w:val="17"/>
                <w:szCs w:val="17"/>
              </w:rPr>
            </w:pPr>
            <w:r w:rsidRPr="00EB4A57">
              <w:rPr>
                <w:rFonts w:ascii="Arial" w:hAnsi="Arial" w:cs="Arial"/>
                <w:sz w:val="17"/>
                <w:szCs w:val="17"/>
              </w:rPr>
              <w:t>Documentos por Cobrar a Largo Plazo</w:t>
            </w:r>
          </w:p>
        </w:tc>
        <w:tc>
          <w:tcPr>
            <w:tcW w:w="2181" w:type="dxa"/>
            <w:tcBorders>
              <w:top w:val="single" w:sz="4" w:space="0" w:color="auto"/>
              <w:left w:val="nil"/>
              <w:bottom w:val="single" w:sz="4" w:space="0" w:color="auto"/>
              <w:right w:val="single" w:sz="4" w:space="0" w:color="auto"/>
            </w:tcBorders>
            <w:shd w:val="clear" w:color="auto" w:fill="auto"/>
          </w:tcPr>
          <w:p w:rsidR="00EB4A57" w:rsidRPr="00EB4A57" w:rsidRDefault="00EB4A57" w:rsidP="00EB4A57">
            <w:pPr>
              <w:jc w:val="right"/>
              <w:rPr>
                <w:rFonts w:ascii="Arial" w:hAnsi="Arial" w:cs="Arial"/>
                <w:sz w:val="17"/>
                <w:szCs w:val="17"/>
              </w:rPr>
            </w:pPr>
            <w:r w:rsidRPr="00EB4A57">
              <w:rPr>
                <w:rFonts w:ascii="Arial" w:hAnsi="Arial" w:cs="Arial"/>
                <w:sz w:val="17"/>
                <w:szCs w:val="17"/>
              </w:rPr>
              <w:t xml:space="preserve"> 474,744,656 </w:t>
            </w:r>
          </w:p>
        </w:tc>
        <w:tc>
          <w:tcPr>
            <w:tcW w:w="2180" w:type="dxa"/>
            <w:tcBorders>
              <w:top w:val="single" w:sz="4" w:space="0" w:color="auto"/>
              <w:left w:val="nil"/>
              <w:bottom w:val="single" w:sz="4" w:space="0" w:color="auto"/>
              <w:right w:val="single" w:sz="4" w:space="0" w:color="auto"/>
            </w:tcBorders>
            <w:shd w:val="clear" w:color="auto" w:fill="auto"/>
          </w:tcPr>
          <w:p w:rsidR="00EB4A57" w:rsidRPr="00EB4A57" w:rsidRDefault="00EB4A57" w:rsidP="00EB4A57">
            <w:pPr>
              <w:jc w:val="right"/>
              <w:rPr>
                <w:rFonts w:ascii="Arial" w:hAnsi="Arial" w:cs="Arial"/>
                <w:sz w:val="17"/>
                <w:szCs w:val="17"/>
              </w:rPr>
            </w:pPr>
            <w:r w:rsidRPr="00EB4A57">
              <w:rPr>
                <w:rFonts w:ascii="Arial" w:hAnsi="Arial" w:cs="Arial"/>
                <w:sz w:val="17"/>
                <w:szCs w:val="17"/>
              </w:rPr>
              <w:t xml:space="preserve"> 475,258,783 </w:t>
            </w:r>
          </w:p>
        </w:tc>
      </w:tr>
      <w:tr w:rsidR="00EB4A57" w:rsidRPr="002D70DA" w:rsidTr="00EB4A57">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EB4A57" w:rsidRPr="002273AF" w:rsidRDefault="00EB4A57" w:rsidP="00EB4A57">
            <w:pPr>
              <w:rPr>
                <w:rFonts w:ascii="Arial" w:hAnsi="Arial" w:cs="Arial"/>
                <w:sz w:val="17"/>
                <w:szCs w:val="17"/>
              </w:rPr>
            </w:pPr>
            <w:r w:rsidRPr="00EB4A57">
              <w:rPr>
                <w:rFonts w:ascii="Arial" w:hAnsi="Arial" w:cs="Arial"/>
                <w:sz w:val="17"/>
                <w:szCs w:val="17"/>
              </w:rPr>
              <w:t>Deudores Diversos a Largo Plazo</w:t>
            </w:r>
          </w:p>
        </w:tc>
        <w:tc>
          <w:tcPr>
            <w:tcW w:w="2181" w:type="dxa"/>
            <w:tcBorders>
              <w:top w:val="single" w:sz="4" w:space="0" w:color="auto"/>
              <w:left w:val="nil"/>
              <w:bottom w:val="single" w:sz="4" w:space="0" w:color="auto"/>
              <w:right w:val="single" w:sz="4" w:space="0" w:color="auto"/>
            </w:tcBorders>
            <w:shd w:val="clear" w:color="auto" w:fill="auto"/>
          </w:tcPr>
          <w:p w:rsidR="00EB4A57" w:rsidRPr="00EB4A57" w:rsidRDefault="00EB4A57" w:rsidP="00EB4A57">
            <w:pPr>
              <w:jc w:val="right"/>
              <w:rPr>
                <w:rFonts w:ascii="Arial" w:hAnsi="Arial" w:cs="Arial"/>
                <w:sz w:val="17"/>
                <w:szCs w:val="17"/>
              </w:rPr>
            </w:pPr>
            <w:r w:rsidRPr="00EB4A57">
              <w:rPr>
                <w:rFonts w:ascii="Arial" w:hAnsi="Arial" w:cs="Arial"/>
                <w:sz w:val="17"/>
                <w:szCs w:val="17"/>
              </w:rPr>
              <w:t xml:space="preserve"> 215,806,776 </w:t>
            </w:r>
          </w:p>
        </w:tc>
        <w:tc>
          <w:tcPr>
            <w:tcW w:w="2180" w:type="dxa"/>
            <w:tcBorders>
              <w:top w:val="single" w:sz="4" w:space="0" w:color="auto"/>
              <w:left w:val="nil"/>
              <w:bottom w:val="single" w:sz="4" w:space="0" w:color="auto"/>
              <w:right w:val="single" w:sz="4" w:space="0" w:color="auto"/>
            </w:tcBorders>
            <w:shd w:val="clear" w:color="auto" w:fill="auto"/>
          </w:tcPr>
          <w:p w:rsidR="00EB4A57" w:rsidRPr="00EB4A57" w:rsidRDefault="00EB4A57" w:rsidP="00EB4A57">
            <w:pPr>
              <w:jc w:val="right"/>
              <w:rPr>
                <w:rFonts w:ascii="Arial" w:hAnsi="Arial" w:cs="Arial"/>
                <w:sz w:val="17"/>
                <w:szCs w:val="17"/>
              </w:rPr>
            </w:pPr>
            <w:r w:rsidRPr="00EB4A57">
              <w:rPr>
                <w:rFonts w:ascii="Arial" w:hAnsi="Arial" w:cs="Arial"/>
                <w:sz w:val="17"/>
                <w:szCs w:val="17"/>
              </w:rPr>
              <w:t xml:space="preserve"> 57,146,933 </w:t>
            </w:r>
          </w:p>
        </w:tc>
      </w:tr>
      <w:tr w:rsidR="00EB4A57" w:rsidRPr="002D70DA" w:rsidTr="00EB4A57">
        <w:trPr>
          <w:trHeight w:val="240"/>
          <w:jc w:val="center"/>
        </w:trPr>
        <w:tc>
          <w:tcPr>
            <w:tcW w:w="4899" w:type="dxa"/>
            <w:tcBorders>
              <w:top w:val="nil"/>
              <w:left w:val="nil"/>
              <w:bottom w:val="nil"/>
              <w:right w:val="single" w:sz="4" w:space="0" w:color="auto"/>
            </w:tcBorders>
            <w:shd w:val="clear" w:color="000000" w:fill="FFFFFF"/>
            <w:vAlign w:val="center"/>
            <w:hideMark/>
          </w:tcPr>
          <w:p w:rsidR="00EB4A57" w:rsidRPr="002D70DA" w:rsidRDefault="00EB4A57" w:rsidP="00EB4A5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EB4A57" w:rsidRPr="00EB4A57" w:rsidRDefault="00EB4A57" w:rsidP="00EB4A57">
            <w:pPr>
              <w:jc w:val="right"/>
              <w:rPr>
                <w:rFonts w:ascii="Arial" w:hAnsi="Arial" w:cs="Arial"/>
                <w:b/>
                <w:sz w:val="17"/>
                <w:szCs w:val="17"/>
              </w:rPr>
            </w:pPr>
            <w:r w:rsidRPr="00EB4A57">
              <w:rPr>
                <w:rFonts w:ascii="Arial" w:hAnsi="Arial" w:cs="Arial"/>
                <w:b/>
                <w:sz w:val="17"/>
                <w:szCs w:val="17"/>
              </w:rPr>
              <w:t xml:space="preserve"> 690,551,431 </w:t>
            </w:r>
          </w:p>
        </w:tc>
        <w:tc>
          <w:tcPr>
            <w:tcW w:w="2180" w:type="dxa"/>
            <w:tcBorders>
              <w:top w:val="nil"/>
              <w:left w:val="single" w:sz="4" w:space="0" w:color="auto"/>
              <w:bottom w:val="single" w:sz="4" w:space="0" w:color="auto"/>
              <w:right w:val="single" w:sz="4" w:space="0" w:color="auto"/>
            </w:tcBorders>
            <w:shd w:val="clear" w:color="000000" w:fill="FFFFFF"/>
          </w:tcPr>
          <w:p w:rsidR="00EB4A57" w:rsidRPr="00EB4A57" w:rsidRDefault="00EB4A57" w:rsidP="00EB4A57">
            <w:pPr>
              <w:jc w:val="right"/>
              <w:rPr>
                <w:rFonts w:ascii="Arial" w:hAnsi="Arial" w:cs="Arial"/>
                <w:b/>
                <w:sz w:val="17"/>
                <w:szCs w:val="17"/>
              </w:rPr>
            </w:pPr>
            <w:r w:rsidRPr="00EB4A57">
              <w:rPr>
                <w:rFonts w:ascii="Arial" w:hAnsi="Arial" w:cs="Arial"/>
                <w:b/>
                <w:sz w:val="17"/>
                <w:szCs w:val="17"/>
              </w:rPr>
              <w:t xml:space="preserve"> 532,405,716 </w:t>
            </w:r>
          </w:p>
        </w:tc>
      </w:tr>
    </w:tbl>
    <w:p w:rsidR="00186E15" w:rsidRDefault="00186E15" w:rsidP="00C60EB5">
      <w:pPr>
        <w:spacing w:before="80" w:line="250" w:lineRule="exact"/>
        <w:ind w:left="709"/>
        <w:jc w:val="both"/>
        <w:rPr>
          <w:rFonts w:ascii="Arial" w:eastAsia="Calibri" w:hAnsi="Arial" w:cs="Arial"/>
          <w:spacing w:val="-1"/>
          <w:sz w:val="17"/>
          <w:szCs w:val="17"/>
        </w:rPr>
      </w:pPr>
    </w:p>
    <w:p w:rsidR="00C60EB5" w:rsidRPr="00362B5E" w:rsidRDefault="00DD6250" w:rsidP="00C60EB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Esta</w:t>
      </w:r>
      <w:r w:rsidR="00EB4A57">
        <w:rPr>
          <w:rFonts w:ascii="Arial" w:eastAsia="Calibri" w:hAnsi="Arial" w:cs="Arial"/>
          <w:spacing w:val="-1"/>
          <w:sz w:val="17"/>
          <w:szCs w:val="17"/>
        </w:rPr>
        <w:t>s</w:t>
      </w:r>
      <w:r>
        <w:rPr>
          <w:rFonts w:ascii="Arial" w:eastAsia="Calibri" w:hAnsi="Arial" w:cs="Arial"/>
          <w:spacing w:val="-1"/>
          <w:sz w:val="17"/>
          <w:szCs w:val="17"/>
        </w:rPr>
        <w:t xml:space="preserve"> </w:t>
      </w:r>
      <w:r w:rsidR="00C60EB5">
        <w:rPr>
          <w:rFonts w:ascii="Arial" w:eastAsia="Calibri" w:hAnsi="Arial" w:cs="Arial"/>
          <w:spacing w:val="-1"/>
          <w:sz w:val="17"/>
          <w:szCs w:val="17"/>
        </w:rPr>
        <w:t>cuenta</w:t>
      </w:r>
      <w:r w:rsidR="00EB4A57">
        <w:rPr>
          <w:rFonts w:ascii="Arial" w:eastAsia="Calibri" w:hAnsi="Arial" w:cs="Arial"/>
          <w:spacing w:val="-1"/>
          <w:sz w:val="17"/>
          <w:szCs w:val="17"/>
        </w:rPr>
        <w:t>s</w:t>
      </w:r>
      <w:r w:rsidR="00C60EB5">
        <w:rPr>
          <w:rFonts w:ascii="Arial" w:eastAsia="Calibri" w:hAnsi="Arial" w:cs="Arial"/>
          <w:spacing w:val="-1"/>
          <w:sz w:val="17"/>
          <w:szCs w:val="17"/>
        </w:rPr>
        <w:t xml:space="preserve"> </w:t>
      </w:r>
      <w:r>
        <w:rPr>
          <w:rFonts w:ascii="Arial" w:eastAsia="Calibri" w:hAnsi="Arial" w:cs="Arial"/>
          <w:spacing w:val="-1"/>
          <w:sz w:val="17"/>
          <w:szCs w:val="17"/>
        </w:rPr>
        <w:t>corresponde</w:t>
      </w:r>
      <w:r w:rsidR="00EB4A57">
        <w:rPr>
          <w:rFonts w:ascii="Arial" w:eastAsia="Calibri" w:hAnsi="Arial" w:cs="Arial"/>
          <w:spacing w:val="-1"/>
          <w:sz w:val="17"/>
          <w:szCs w:val="17"/>
        </w:rPr>
        <w:t>n</w:t>
      </w:r>
      <w:r>
        <w:rPr>
          <w:rFonts w:ascii="Arial" w:eastAsia="Calibri" w:hAnsi="Arial" w:cs="Arial"/>
          <w:spacing w:val="-1"/>
          <w:sz w:val="17"/>
          <w:szCs w:val="17"/>
        </w:rPr>
        <w:t xml:space="preserve"> a la </w:t>
      </w:r>
      <w:r w:rsidR="00EB4A57" w:rsidRPr="00EB4A57">
        <w:rPr>
          <w:rFonts w:ascii="Arial" w:eastAsia="Calibri" w:hAnsi="Arial" w:cs="Arial"/>
          <w:spacing w:val="-1"/>
          <w:sz w:val="17"/>
          <w:szCs w:val="17"/>
        </w:rPr>
        <w:t>Comisión Estatal de Aguas</w:t>
      </w:r>
      <w:r w:rsidR="00C60EB5" w:rsidRPr="00362B5E">
        <w:rPr>
          <w:rFonts w:ascii="Arial" w:eastAsia="Calibri" w:hAnsi="Arial" w:cs="Arial"/>
          <w:spacing w:val="-1"/>
          <w:sz w:val="17"/>
          <w:szCs w:val="17"/>
        </w:rPr>
        <w:t>.</w:t>
      </w:r>
    </w:p>
    <w:p w:rsidR="00186E15" w:rsidRPr="002D70DA" w:rsidRDefault="00186E15" w:rsidP="008B1298">
      <w:pPr>
        <w:autoSpaceDE w:val="0"/>
        <w:autoSpaceDN w:val="0"/>
        <w:adjustRightInd w:val="0"/>
        <w:spacing w:before="240" w:after="120"/>
        <w:jc w:val="center"/>
        <w:rPr>
          <w:rFonts w:ascii="Arial" w:eastAsia="Calibri" w:hAnsi="Arial" w:cs="Arial"/>
          <w:b/>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9831D5">
        <w:rPr>
          <w:rFonts w:ascii="Arial" w:eastAsia="Calibri" w:hAnsi="Arial" w:cs="Arial"/>
          <w:spacing w:val="-1"/>
          <w:sz w:val="17"/>
          <w:szCs w:val="17"/>
        </w:rPr>
        <w:t>2019</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8A4847">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2019</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2018</w:t>
            </w:r>
          </w:p>
        </w:tc>
      </w:tr>
      <w:tr w:rsidR="008A4847" w:rsidRPr="002D70DA" w:rsidTr="008A4847">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8A4847" w:rsidRPr="008A4847" w:rsidRDefault="008A4847" w:rsidP="008A4847">
            <w:pPr>
              <w:rPr>
                <w:rFonts w:ascii="Arial" w:hAnsi="Arial" w:cs="Arial"/>
                <w:sz w:val="17"/>
                <w:szCs w:val="17"/>
              </w:rPr>
            </w:pPr>
            <w:r w:rsidRPr="008A4847">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 6,152,116,820 </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 6,116,570,172 </w:t>
            </w:r>
          </w:p>
        </w:tc>
      </w:tr>
      <w:tr w:rsidR="008A4847" w:rsidRPr="002D70DA" w:rsidTr="008A4847">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8A4847" w:rsidRPr="008A4847" w:rsidRDefault="008A4847" w:rsidP="008A4847">
            <w:pPr>
              <w:rPr>
                <w:rFonts w:ascii="Arial" w:hAnsi="Arial" w:cs="Arial"/>
                <w:sz w:val="17"/>
                <w:szCs w:val="17"/>
              </w:rPr>
            </w:pPr>
            <w:r w:rsidRPr="008A4847">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 127,454,807 </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 3,300,948 </w:t>
            </w:r>
          </w:p>
        </w:tc>
      </w:tr>
      <w:tr w:rsidR="008A4847" w:rsidRPr="002D70DA" w:rsidTr="008A4847">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8A4847" w:rsidRPr="008A4847" w:rsidRDefault="008A4847" w:rsidP="008A4847">
            <w:pPr>
              <w:rPr>
                <w:rFonts w:ascii="Arial" w:hAnsi="Arial" w:cs="Arial"/>
                <w:sz w:val="17"/>
                <w:szCs w:val="17"/>
              </w:rPr>
            </w:pPr>
            <w:r w:rsidRPr="008A4847">
              <w:rPr>
                <w:rFonts w:ascii="Arial" w:hAnsi="Arial" w:cs="Arial"/>
                <w:sz w:val="17"/>
                <w:szCs w:val="17"/>
              </w:rPr>
              <w:t>Infraestructura</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 1,363,057,947 </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 458,619,236 </w:t>
            </w:r>
          </w:p>
        </w:tc>
      </w:tr>
      <w:tr w:rsidR="008A4847" w:rsidRPr="002D70DA" w:rsidTr="008A4847">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8A4847" w:rsidRPr="008A4847" w:rsidRDefault="008A4847" w:rsidP="008A4847">
            <w:pPr>
              <w:rPr>
                <w:rFonts w:ascii="Arial" w:hAnsi="Arial" w:cs="Arial"/>
                <w:sz w:val="17"/>
                <w:szCs w:val="17"/>
              </w:rPr>
            </w:pPr>
            <w:r w:rsidRPr="008A4847">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-288,273,024 </w:t>
            </w:r>
          </w:p>
        </w:tc>
        <w:tc>
          <w:tcPr>
            <w:tcW w:w="2182" w:type="dxa"/>
            <w:tcBorders>
              <w:top w:val="single" w:sz="4" w:space="0" w:color="auto"/>
              <w:left w:val="nil"/>
              <w:bottom w:val="single" w:sz="4" w:space="0" w:color="auto"/>
              <w:right w:val="single" w:sz="4" w:space="0" w:color="auto"/>
            </w:tcBorders>
            <w:shd w:val="clear" w:color="auto" w:fill="auto"/>
          </w:tcPr>
          <w:p w:rsidR="008A4847" w:rsidRPr="008A4847" w:rsidRDefault="008A4847" w:rsidP="008A4847">
            <w:pPr>
              <w:jc w:val="right"/>
              <w:rPr>
                <w:rFonts w:ascii="Arial" w:hAnsi="Arial" w:cs="Arial"/>
                <w:sz w:val="17"/>
                <w:szCs w:val="17"/>
              </w:rPr>
            </w:pPr>
            <w:r w:rsidRPr="008A4847">
              <w:rPr>
                <w:rFonts w:ascii="Arial" w:hAnsi="Arial" w:cs="Arial"/>
                <w:sz w:val="17"/>
                <w:szCs w:val="17"/>
              </w:rPr>
              <w:t xml:space="preserve">-51,762,549 </w:t>
            </w:r>
          </w:p>
        </w:tc>
      </w:tr>
      <w:tr w:rsidR="008A4847" w:rsidRPr="002D70DA" w:rsidTr="008A4847">
        <w:trPr>
          <w:trHeight w:val="240"/>
          <w:jc w:val="center"/>
        </w:trPr>
        <w:tc>
          <w:tcPr>
            <w:tcW w:w="4906" w:type="dxa"/>
            <w:tcBorders>
              <w:top w:val="nil"/>
              <w:left w:val="nil"/>
              <w:bottom w:val="nil"/>
              <w:right w:val="single" w:sz="4" w:space="0" w:color="auto"/>
            </w:tcBorders>
            <w:shd w:val="clear" w:color="000000" w:fill="FFFFFF"/>
            <w:vAlign w:val="center"/>
            <w:hideMark/>
          </w:tcPr>
          <w:p w:rsidR="008A4847" w:rsidRPr="002D70DA" w:rsidRDefault="008A4847" w:rsidP="008A484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8A4847" w:rsidRPr="008A4847" w:rsidRDefault="008A4847" w:rsidP="008A4847">
            <w:pPr>
              <w:jc w:val="right"/>
              <w:rPr>
                <w:rFonts w:ascii="Arial" w:hAnsi="Arial" w:cs="Arial"/>
                <w:b/>
                <w:sz w:val="17"/>
                <w:szCs w:val="17"/>
              </w:rPr>
            </w:pPr>
            <w:r w:rsidRPr="008A4847">
              <w:rPr>
                <w:rFonts w:ascii="Arial" w:hAnsi="Arial" w:cs="Arial"/>
                <w:b/>
                <w:sz w:val="17"/>
                <w:szCs w:val="17"/>
              </w:rPr>
              <w:t xml:space="preserve"> 7,354,356,550 </w:t>
            </w:r>
          </w:p>
        </w:tc>
        <w:tc>
          <w:tcPr>
            <w:tcW w:w="2182" w:type="dxa"/>
            <w:tcBorders>
              <w:top w:val="nil"/>
              <w:left w:val="single" w:sz="4" w:space="0" w:color="auto"/>
              <w:bottom w:val="single" w:sz="4" w:space="0" w:color="auto"/>
              <w:right w:val="single" w:sz="4" w:space="0" w:color="auto"/>
            </w:tcBorders>
            <w:shd w:val="clear" w:color="000000" w:fill="FFFFFF"/>
          </w:tcPr>
          <w:p w:rsidR="008A4847" w:rsidRPr="008A4847" w:rsidRDefault="008A4847" w:rsidP="008A4847">
            <w:pPr>
              <w:jc w:val="right"/>
              <w:rPr>
                <w:rFonts w:ascii="Arial" w:hAnsi="Arial" w:cs="Arial"/>
                <w:b/>
                <w:sz w:val="17"/>
                <w:szCs w:val="17"/>
              </w:rPr>
            </w:pPr>
            <w:r w:rsidRPr="008A4847">
              <w:rPr>
                <w:rFonts w:ascii="Arial" w:hAnsi="Arial" w:cs="Arial"/>
                <w:b/>
                <w:sz w:val="17"/>
                <w:szCs w:val="17"/>
              </w:rPr>
              <w:t xml:space="preserve"> 6,526,727,806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 xml:space="preserve">El incremento en el rubro de </w:t>
      </w:r>
      <w:r w:rsidR="001B511A" w:rsidRPr="001B511A">
        <w:rPr>
          <w:rFonts w:ascii="Arial" w:eastAsia="Calibri" w:hAnsi="Arial" w:cs="Arial"/>
          <w:spacing w:val="-1"/>
          <w:sz w:val="17"/>
          <w:szCs w:val="17"/>
        </w:rPr>
        <w:t>Infraestructura</w:t>
      </w:r>
      <w:r w:rsidRPr="00D33F92">
        <w:rPr>
          <w:rFonts w:ascii="Arial" w:eastAsia="Calibri" w:hAnsi="Arial" w:cs="Arial"/>
          <w:spacing w:val="-1"/>
          <w:sz w:val="17"/>
          <w:szCs w:val="17"/>
        </w:rPr>
        <w:t xml:space="preserve"> </w:t>
      </w:r>
      <w:r w:rsidR="00226BB0">
        <w:rPr>
          <w:rFonts w:ascii="Arial" w:eastAsia="Calibri" w:hAnsi="Arial" w:cs="Arial"/>
          <w:spacing w:val="-1"/>
          <w:sz w:val="17"/>
          <w:szCs w:val="17"/>
        </w:rPr>
        <w:t>corresponde</w:t>
      </w:r>
      <w:r w:rsidRPr="00D33F92">
        <w:rPr>
          <w:rFonts w:ascii="Arial" w:eastAsia="Calibri" w:hAnsi="Arial" w:cs="Arial"/>
          <w:spacing w:val="-1"/>
          <w:sz w:val="17"/>
          <w:szCs w:val="17"/>
        </w:rPr>
        <w:t xml:space="preserve"> principalmente a</w:t>
      </w:r>
      <w:r w:rsidR="00226BB0">
        <w:rPr>
          <w:rFonts w:ascii="Arial" w:eastAsia="Calibri" w:hAnsi="Arial" w:cs="Arial"/>
          <w:spacing w:val="-1"/>
          <w:sz w:val="17"/>
          <w:szCs w:val="17"/>
        </w:rPr>
        <w:t xml:space="preserve"> la </w:t>
      </w:r>
      <w:r w:rsidR="001B511A" w:rsidRPr="001B511A">
        <w:rPr>
          <w:rFonts w:ascii="Arial" w:eastAsia="Calibri" w:hAnsi="Arial" w:cs="Arial"/>
          <w:spacing w:val="-1"/>
          <w:sz w:val="17"/>
          <w:szCs w:val="17"/>
        </w:rPr>
        <w:t>Comisión Estatal de Aguas</w:t>
      </w:r>
      <w:r w:rsidRPr="00D33F92">
        <w:rPr>
          <w:rFonts w:ascii="Arial" w:eastAsia="Calibri" w:hAnsi="Arial" w:cs="Arial"/>
          <w:spacing w:val="-1"/>
          <w:sz w:val="17"/>
          <w:szCs w:val="17"/>
        </w:rPr>
        <w:t>.</w:t>
      </w:r>
    </w:p>
    <w:p w:rsidR="00E13DFB" w:rsidRDefault="00E13DFB">
      <w:pPr>
        <w:rPr>
          <w:rFonts w:ascii="Arial" w:eastAsia="Calibri" w:hAnsi="Arial" w:cs="Arial"/>
          <w:spacing w:val="-1"/>
          <w:sz w:val="17"/>
          <w:szCs w:val="17"/>
        </w:rPr>
      </w:pPr>
    </w:p>
    <w:p w:rsidR="001B511A" w:rsidRDefault="001B511A">
      <w:pPr>
        <w:rPr>
          <w:rFonts w:ascii="Arial" w:eastAsia="Calibri" w:hAnsi="Arial" w:cs="Arial"/>
          <w:spacing w:val="-1"/>
          <w:sz w:val="17"/>
          <w:szCs w:val="17"/>
        </w:rPr>
      </w:pPr>
      <w:r>
        <w:rPr>
          <w:rFonts w:ascii="Arial" w:eastAsia="Calibri" w:hAnsi="Arial" w:cs="Arial"/>
          <w:spacing w:val="-1"/>
          <w:sz w:val="17"/>
          <w:szCs w:val="17"/>
        </w:rPr>
        <w:br w:type="page"/>
      </w:r>
    </w:p>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93393" w:rsidRPr="002D70DA" w:rsidTr="001B511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1B511A" w:rsidRPr="002D70DA" w:rsidTr="001B511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B511A" w:rsidRPr="002273AF" w:rsidRDefault="001B511A" w:rsidP="001B511A">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1B511A" w:rsidRPr="001B511A" w:rsidRDefault="001B511A" w:rsidP="001B511A">
            <w:pPr>
              <w:jc w:val="right"/>
              <w:rPr>
                <w:rFonts w:ascii="Arial" w:hAnsi="Arial" w:cs="Arial"/>
                <w:sz w:val="17"/>
                <w:szCs w:val="17"/>
              </w:rPr>
            </w:pPr>
            <w:r w:rsidRPr="001B511A">
              <w:rPr>
                <w:rFonts w:ascii="Arial" w:hAnsi="Arial" w:cs="Arial"/>
                <w:sz w:val="17"/>
                <w:szCs w:val="17"/>
              </w:rPr>
              <w:t xml:space="preserve">7,136,170,601 </w:t>
            </w:r>
          </w:p>
        </w:tc>
        <w:tc>
          <w:tcPr>
            <w:tcW w:w="2180" w:type="dxa"/>
            <w:tcBorders>
              <w:top w:val="single" w:sz="4" w:space="0" w:color="auto"/>
              <w:left w:val="nil"/>
              <w:bottom w:val="single" w:sz="4" w:space="0" w:color="auto"/>
              <w:right w:val="single" w:sz="4" w:space="0" w:color="auto"/>
            </w:tcBorders>
            <w:shd w:val="clear" w:color="auto" w:fill="auto"/>
          </w:tcPr>
          <w:p w:rsidR="001B511A" w:rsidRPr="001B511A" w:rsidRDefault="001B511A" w:rsidP="001B511A">
            <w:pPr>
              <w:jc w:val="right"/>
              <w:rPr>
                <w:rFonts w:ascii="Arial" w:hAnsi="Arial" w:cs="Arial"/>
                <w:sz w:val="17"/>
                <w:szCs w:val="17"/>
              </w:rPr>
            </w:pPr>
            <w:r w:rsidRPr="001B511A">
              <w:rPr>
                <w:rFonts w:ascii="Arial" w:hAnsi="Arial" w:cs="Arial"/>
                <w:sz w:val="17"/>
                <w:szCs w:val="17"/>
              </w:rPr>
              <w:t xml:space="preserve">6,326,963,066 </w:t>
            </w:r>
          </w:p>
        </w:tc>
      </w:tr>
      <w:tr w:rsidR="001B511A" w:rsidRPr="002D70DA" w:rsidTr="001B511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B511A" w:rsidRPr="002273AF" w:rsidRDefault="001B511A" w:rsidP="001B511A">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1B511A" w:rsidRPr="001B511A" w:rsidRDefault="001B511A" w:rsidP="001B511A">
            <w:pPr>
              <w:jc w:val="right"/>
              <w:rPr>
                <w:rFonts w:ascii="Arial" w:hAnsi="Arial" w:cs="Arial"/>
                <w:sz w:val="17"/>
                <w:szCs w:val="17"/>
              </w:rPr>
            </w:pPr>
            <w:r w:rsidRPr="001B511A">
              <w:rPr>
                <w:rFonts w:ascii="Arial" w:hAnsi="Arial" w:cs="Arial"/>
                <w:sz w:val="17"/>
                <w:szCs w:val="17"/>
              </w:rPr>
              <w:t xml:space="preserve">218,185,949 </w:t>
            </w:r>
          </w:p>
        </w:tc>
        <w:tc>
          <w:tcPr>
            <w:tcW w:w="2180" w:type="dxa"/>
            <w:tcBorders>
              <w:top w:val="single" w:sz="4" w:space="0" w:color="auto"/>
              <w:left w:val="nil"/>
              <w:bottom w:val="single" w:sz="4" w:space="0" w:color="auto"/>
              <w:right w:val="single" w:sz="4" w:space="0" w:color="auto"/>
            </w:tcBorders>
            <w:shd w:val="clear" w:color="auto" w:fill="auto"/>
          </w:tcPr>
          <w:p w:rsidR="001B511A" w:rsidRPr="001B511A" w:rsidRDefault="001B511A" w:rsidP="001B511A">
            <w:pPr>
              <w:jc w:val="right"/>
              <w:rPr>
                <w:rFonts w:ascii="Arial" w:hAnsi="Arial" w:cs="Arial"/>
                <w:sz w:val="17"/>
                <w:szCs w:val="17"/>
              </w:rPr>
            </w:pPr>
            <w:r w:rsidRPr="001B511A">
              <w:rPr>
                <w:rFonts w:ascii="Arial" w:hAnsi="Arial" w:cs="Arial"/>
                <w:sz w:val="17"/>
                <w:szCs w:val="17"/>
              </w:rPr>
              <w:t xml:space="preserve">199,764,741 </w:t>
            </w:r>
          </w:p>
        </w:tc>
      </w:tr>
      <w:tr w:rsidR="001B511A" w:rsidRPr="002D70DA" w:rsidTr="001B511A">
        <w:trPr>
          <w:trHeight w:val="240"/>
          <w:jc w:val="center"/>
        </w:trPr>
        <w:tc>
          <w:tcPr>
            <w:tcW w:w="4900" w:type="dxa"/>
            <w:tcBorders>
              <w:top w:val="nil"/>
              <w:left w:val="nil"/>
              <w:bottom w:val="nil"/>
              <w:right w:val="single" w:sz="4" w:space="0" w:color="auto"/>
            </w:tcBorders>
            <w:shd w:val="clear" w:color="000000" w:fill="FFFFFF"/>
            <w:vAlign w:val="center"/>
            <w:hideMark/>
          </w:tcPr>
          <w:p w:rsidR="001B511A" w:rsidRPr="002D70DA" w:rsidRDefault="001B511A" w:rsidP="001B511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B511A" w:rsidRPr="001B511A" w:rsidRDefault="001B511A" w:rsidP="001B511A">
            <w:pPr>
              <w:jc w:val="right"/>
              <w:rPr>
                <w:rFonts w:ascii="Arial" w:hAnsi="Arial" w:cs="Arial"/>
                <w:b/>
                <w:sz w:val="17"/>
                <w:szCs w:val="17"/>
              </w:rPr>
            </w:pPr>
            <w:r w:rsidRPr="001B511A">
              <w:rPr>
                <w:rFonts w:ascii="Arial" w:hAnsi="Arial" w:cs="Arial"/>
                <w:b/>
                <w:sz w:val="17"/>
                <w:szCs w:val="17"/>
              </w:rPr>
              <w:t xml:space="preserve">7,354,356,550 </w:t>
            </w:r>
          </w:p>
        </w:tc>
        <w:tc>
          <w:tcPr>
            <w:tcW w:w="2180" w:type="dxa"/>
            <w:tcBorders>
              <w:top w:val="nil"/>
              <w:left w:val="single" w:sz="4" w:space="0" w:color="auto"/>
              <w:bottom w:val="single" w:sz="4" w:space="0" w:color="auto"/>
              <w:right w:val="single" w:sz="4" w:space="0" w:color="auto"/>
            </w:tcBorders>
            <w:shd w:val="clear" w:color="000000" w:fill="FFFFFF"/>
          </w:tcPr>
          <w:p w:rsidR="001B511A" w:rsidRPr="001B511A" w:rsidRDefault="001B511A" w:rsidP="001B511A">
            <w:pPr>
              <w:jc w:val="right"/>
              <w:rPr>
                <w:rFonts w:ascii="Arial" w:hAnsi="Arial" w:cs="Arial"/>
                <w:b/>
                <w:sz w:val="17"/>
                <w:szCs w:val="17"/>
              </w:rPr>
            </w:pPr>
            <w:r w:rsidRPr="001B511A">
              <w:rPr>
                <w:rFonts w:ascii="Arial" w:hAnsi="Arial" w:cs="Arial"/>
                <w:b/>
                <w:sz w:val="17"/>
                <w:szCs w:val="17"/>
              </w:rPr>
              <w:t xml:space="preserve">6,526,727,806 </w:t>
            </w:r>
          </w:p>
        </w:tc>
      </w:tr>
    </w:tbl>
    <w:p w:rsidR="00AC18F1" w:rsidRDefault="00AC18F1" w:rsidP="00E856ED">
      <w:pPr>
        <w:spacing w:before="80" w:line="250" w:lineRule="exact"/>
        <w:ind w:left="709"/>
        <w:jc w:val="both"/>
        <w:rPr>
          <w:rFonts w:ascii="Arial" w:eastAsia="Calibri" w:hAnsi="Arial" w:cs="Arial"/>
          <w:spacing w:val="-1"/>
          <w:sz w:val="17"/>
          <w:szCs w:val="17"/>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9831D5">
        <w:rPr>
          <w:rFonts w:ascii="Arial" w:eastAsia="Calibri" w:hAnsi="Arial" w:cs="Arial"/>
          <w:spacing w:val="-1"/>
          <w:sz w:val="17"/>
          <w:szCs w:val="17"/>
        </w:rPr>
        <w:t>2019</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E126C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E126CC" w:rsidRPr="002D70DA" w:rsidTr="00E126C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E126CC" w:rsidRPr="00186E15" w:rsidRDefault="00E126CC" w:rsidP="00E126CC">
            <w:pPr>
              <w:rPr>
                <w:rFonts w:ascii="Arial" w:hAnsi="Arial" w:cs="Arial"/>
                <w:sz w:val="17"/>
                <w:szCs w:val="17"/>
              </w:rPr>
            </w:pPr>
            <w:r w:rsidRPr="00186E15">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713,550,615 </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696,505,559 </w:t>
            </w:r>
          </w:p>
        </w:tc>
      </w:tr>
      <w:tr w:rsidR="00E126CC" w:rsidRPr="002D70DA" w:rsidTr="00E126C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E126CC" w:rsidRPr="00186E15" w:rsidRDefault="00E126CC" w:rsidP="00E126CC">
            <w:pPr>
              <w:rPr>
                <w:rFonts w:ascii="Arial" w:hAnsi="Arial" w:cs="Arial"/>
                <w:sz w:val="17"/>
                <w:szCs w:val="17"/>
              </w:rPr>
            </w:pPr>
            <w:r w:rsidRPr="00186E15">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2,447,850 </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2,204,593 </w:t>
            </w:r>
          </w:p>
        </w:tc>
      </w:tr>
      <w:tr w:rsidR="00E126CC" w:rsidRPr="002D70DA" w:rsidTr="00E126C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E126CC" w:rsidRPr="00186E15" w:rsidRDefault="00E126CC" w:rsidP="00E126CC">
            <w:pPr>
              <w:rPr>
                <w:rFonts w:ascii="Arial" w:hAnsi="Arial" w:cs="Arial"/>
                <w:sz w:val="17"/>
                <w:szCs w:val="17"/>
              </w:rPr>
            </w:pPr>
            <w:r w:rsidRPr="00186E15">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4,457,168 </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4,289,371 </w:t>
            </w:r>
          </w:p>
        </w:tc>
      </w:tr>
      <w:tr w:rsidR="00E126CC" w:rsidRPr="002D70DA" w:rsidTr="00E126C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E126CC" w:rsidRPr="00186E15" w:rsidRDefault="00E126CC" w:rsidP="00E126CC">
            <w:pPr>
              <w:rPr>
                <w:rFonts w:ascii="Arial" w:hAnsi="Arial" w:cs="Arial"/>
                <w:sz w:val="17"/>
                <w:szCs w:val="17"/>
              </w:rPr>
            </w:pPr>
            <w:r w:rsidRPr="00186E15">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13,526,352 </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1,829,820 </w:t>
            </w:r>
          </w:p>
        </w:tc>
      </w:tr>
      <w:tr w:rsidR="00E126CC" w:rsidRPr="002D70DA" w:rsidTr="00E126C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E126CC" w:rsidRPr="00186E15" w:rsidRDefault="00E126CC" w:rsidP="00E126CC">
            <w:pPr>
              <w:rPr>
                <w:rFonts w:ascii="Arial" w:hAnsi="Arial" w:cs="Arial"/>
                <w:sz w:val="17"/>
                <w:szCs w:val="17"/>
              </w:rPr>
            </w:pPr>
            <w:r w:rsidRPr="00186E15">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145,850,605 </w:t>
            </w:r>
          </w:p>
        </w:tc>
        <w:tc>
          <w:tcPr>
            <w:tcW w:w="2181"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 91,503,953 </w:t>
            </w:r>
          </w:p>
        </w:tc>
      </w:tr>
      <w:tr w:rsidR="00E126CC" w:rsidRPr="002D70DA" w:rsidTr="00E126CC">
        <w:trPr>
          <w:trHeight w:val="240"/>
          <w:jc w:val="center"/>
        </w:trPr>
        <w:tc>
          <w:tcPr>
            <w:tcW w:w="4903" w:type="dxa"/>
            <w:tcBorders>
              <w:top w:val="nil"/>
              <w:left w:val="nil"/>
              <w:bottom w:val="nil"/>
              <w:right w:val="single" w:sz="4" w:space="0" w:color="auto"/>
            </w:tcBorders>
            <w:shd w:val="clear" w:color="000000" w:fill="FFFFFF"/>
            <w:vAlign w:val="center"/>
            <w:hideMark/>
          </w:tcPr>
          <w:p w:rsidR="00E126CC" w:rsidRPr="002D70DA" w:rsidRDefault="00E126CC" w:rsidP="00E126C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E126CC" w:rsidRPr="00E126CC" w:rsidRDefault="00E126CC" w:rsidP="00E126CC">
            <w:pPr>
              <w:jc w:val="right"/>
              <w:rPr>
                <w:rFonts w:ascii="Arial" w:hAnsi="Arial" w:cs="Arial"/>
                <w:b/>
                <w:sz w:val="17"/>
                <w:szCs w:val="17"/>
              </w:rPr>
            </w:pPr>
            <w:r w:rsidRPr="00E126CC">
              <w:rPr>
                <w:rFonts w:ascii="Arial" w:hAnsi="Arial" w:cs="Arial"/>
                <w:b/>
                <w:sz w:val="17"/>
                <w:szCs w:val="17"/>
              </w:rPr>
              <w:t xml:space="preserve"> 879,832,589 </w:t>
            </w:r>
          </w:p>
        </w:tc>
        <w:tc>
          <w:tcPr>
            <w:tcW w:w="2181" w:type="dxa"/>
            <w:tcBorders>
              <w:top w:val="nil"/>
              <w:left w:val="single" w:sz="4" w:space="0" w:color="auto"/>
              <w:bottom w:val="single" w:sz="4" w:space="0" w:color="auto"/>
              <w:right w:val="single" w:sz="4" w:space="0" w:color="auto"/>
            </w:tcBorders>
            <w:shd w:val="clear" w:color="000000" w:fill="FFFFFF"/>
          </w:tcPr>
          <w:p w:rsidR="00E126CC" w:rsidRPr="00E126CC" w:rsidRDefault="00E126CC" w:rsidP="00E126CC">
            <w:pPr>
              <w:jc w:val="right"/>
              <w:rPr>
                <w:rFonts w:ascii="Arial" w:hAnsi="Arial" w:cs="Arial"/>
                <w:b/>
                <w:sz w:val="17"/>
                <w:szCs w:val="17"/>
              </w:rPr>
            </w:pPr>
            <w:r w:rsidRPr="00E126CC">
              <w:rPr>
                <w:rFonts w:ascii="Arial" w:hAnsi="Arial" w:cs="Arial"/>
                <w:b/>
                <w:sz w:val="17"/>
                <w:szCs w:val="17"/>
              </w:rPr>
              <w:t xml:space="preserve"> 796,333,297 </w:t>
            </w:r>
          </w:p>
        </w:tc>
      </w:tr>
    </w:tbl>
    <w:p w:rsidR="001B5113" w:rsidRDefault="001B5113" w:rsidP="001B5113">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obedece principalmente a</w:t>
      </w:r>
      <w:r>
        <w:rPr>
          <w:rFonts w:ascii="Arial" w:eastAsia="Calibri" w:hAnsi="Arial" w:cs="Arial"/>
          <w:spacing w:val="-1"/>
          <w:sz w:val="17"/>
          <w:szCs w:val="17"/>
        </w:rPr>
        <w:t xml:space="preserve"> la incorporación de </w:t>
      </w:r>
      <w:r w:rsidR="00E126CC" w:rsidRPr="00E126CC">
        <w:rPr>
          <w:rFonts w:ascii="Arial" w:eastAsia="Calibri" w:hAnsi="Arial" w:cs="Arial"/>
          <w:spacing w:val="-1"/>
          <w:sz w:val="17"/>
          <w:szCs w:val="17"/>
        </w:rPr>
        <w:t xml:space="preserve">Maquinaria, Otros Equipos y Herramientas </w:t>
      </w:r>
      <w:r>
        <w:rPr>
          <w:rFonts w:ascii="Arial" w:eastAsia="Calibri" w:hAnsi="Arial" w:cs="Arial"/>
          <w:spacing w:val="-1"/>
          <w:sz w:val="17"/>
          <w:szCs w:val="17"/>
        </w:rPr>
        <w:t>a</w:t>
      </w:r>
      <w:r w:rsidR="00C323DF">
        <w:rPr>
          <w:rFonts w:ascii="Arial" w:eastAsia="Calibri" w:hAnsi="Arial" w:cs="Arial"/>
          <w:spacing w:val="-1"/>
          <w:sz w:val="17"/>
          <w:szCs w:val="17"/>
        </w:rPr>
        <w:t xml:space="preserve">l </w:t>
      </w:r>
      <w:r>
        <w:rPr>
          <w:rFonts w:ascii="Arial" w:eastAsia="Calibri" w:hAnsi="Arial" w:cs="Arial"/>
          <w:spacing w:val="-1"/>
          <w:sz w:val="17"/>
          <w:szCs w:val="17"/>
        </w:rPr>
        <w:t xml:space="preserve"> </w:t>
      </w:r>
      <w:r w:rsidR="00E126CC" w:rsidRPr="00E126CC">
        <w:rPr>
          <w:rFonts w:ascii="Arial" w:eastAsia="Calibri" w:hAnsi="Arial" w:cs="Arial"/>
          <w:spacing w:val="-1"/>
          <w:sz w:val="17"/>
          <w:szCs w:val="17"/>
        </w:rPr>
        <w:t>Aeropuerto Intercontinental de Querétaro</w:t>
      </w:r>
      <w:r w:rsidRPr="00D33F92">
        <w:rPr>
          <w:rFonts w:ascii="Arial" w:eastAsia="Calibri" w:hAnsi="Arial" w:cs="Arial"/>
          <w:spacing w:val="-1"/>
          <w:sz w:val="17"/>
          <w:szCs w:val="17"/>
        </w:rPr>
        <w:t>.</w:t>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24422" w:rsidRPr="002D70DA" w:rsidTr="00E126C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E126CC" w:rsidRPr="002D70DA" w:rsidTr="00E126C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26CC" w:rsidRPr="00E126CC" w:rsidRDefault="00E126CC" w:rsidP="00E126CC">
            <w:pPr>
              <w:rPr>
                <w:rFonts w:ascii="Arial" w:hAnsi="Arial" w:cs="Arial"/>
                <w:sz w:val="17"/>
                <w:szCs w:val="17"/>
              </w:rPr>
            </w:pPr>
            <w:r w:rsidRPr="00E126CC">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707,474,280 </w:t>
            </w:r>
          </w:p>
        </w:tc>
        <w:tc>
          <w:tcPr>
            <w:tcW w:w="2180"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667,043,418 </w:t>
            </w:r>
          </w:p>
        </w:tc>
      </w:tr>
      <w:tr w:rsidR="00E126CC" w:rsidRPr="002D70DA" w:rsidTr="00E126C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126CC" w:rsidRPr="00E126CC" w:rsidRDefault="00E126CC" w:rsidP="00E126CC">
            <w:pPr>
              <w:rPr>
                <w:rFonts w:ascii="Arial" w:hAnsi="Arial" w:cs="Arial"/>
                <w:sz w:val="17"/>
                <w:szCs w:val="17"/>
              </w:rPr>
            </w:pPr>
            <w:r w:rsidRPr="00E126CC">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172,358,310 </w:t>
            </w:r>
          </w:p>
        </w:tc>
        <w:tc>
          <w:tcPr>
            <w:tcW w:w="2180" w:type="dxa"/>
            <w:tcBorders>
              <w:top w:val="single" w:sz="4" w:space="0" w:color="auto"/>
              <w:left w:val="nil"/>
              <w:bottom w:val="single" w:sz="4" w:space="0" w:color="auto"/>
              <w:right w:val="single" w:sz="4" w:space="0" w:color="auto"/>
            </w:tcBorders>
            <w:shd w:val="clear" w:color="auto" w:fill="auto"/>
          </w:tcPr>
          <w:p w:rsidR="00E126CC" w:rsidRPr="00E126CC" w:rsidRDefault="00E126CC" w:rsidP="00E126CC">
            <w:pPr>
              <w:jc w:val="right"/>
              <w:rPr>
                <w:rFonts w:ascii="Arial" w:hAnsi="Arial" w:cs="Arial"/>
                <w:sz w:val="17"/>
                <w:szCs w:val="17"/>
              </w:rPr>
            </w:pPr>
            <w:r w:rsidRPr="00E126CC">
              <w:rPr>
                <w:rFonts w:ascii="Arial" w:hAnsi="Arial" w:cs="Arial"/>
                <w:sz w:val="17"/>
                <w:szCs w:val="17"/>
              </w:rPr>
              <w:t xml:space="preserve">129,289,879 </w:t>
            </w:r>
          </w:p>
        </w:tc>
      </w:tr>
      <w:tr w:rsidR="00E126CC" w:rsidRPr="002D70DA" w:rsidTr="00E126CC">
        <w:trPr>
          <w:trHeight w:val="240"/>
          <w:jc w:val="center"/>
        </w:trPr>
        <w:tc>
          <w:tcPr>
            <w:tcW w:w="4900" w:type="dxa"/>
            <w:tcBorders>
              <w:top w:val="nil"/>
              <w:left w:val="nil"/>
              <w:bottom w:val="nil"/>
              <w:right w:val="single" w:sz="4" w:space="0" w:color="auto"/>
            </w:tcBorders>
            <w:shd w:val="clear" w:color="000000" w:fill="FFFFFF"/>
            <w:vAlign w:val="center"/>
            <w:hideMark/>
          </w:tcPr>
          <w:p w:rsidR="00E126CC" w:rsidRPr="002D70DA" w:rsidRDefault="00E126CC" w:rsidP="00E126C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126CC" w:rsidRPr="00E126CC" w:rsidRDefault="00E126CC" w:rsidP="00E126CC">
            <w:pPr>
              <w:jc w:val="right"/>
              <w:rPr>
                <w:rFonts w:ascii="Arial" w:hAnsi="Arial" w:cs="Arial"/>
                <w:b/>
                <w:sz w:val="17"/>
                <w:szCs w:val="17"/>
              </w:rPr>
            </w:pPr>
            <w:r w:rsidRPr="00E126CC">
              <w:rPr>
                <w:rFonts w:ascii="Arial" w:hAnsi="Arial" w:cs="Arial"/>
                <w:b/>
                <w:sz w:val="17"/>
                <w:szCs w:val="17"/>
              </w:rPr>
              <w:t xml:space="preserve">879,832,589 </w:t>
            </w:r>
          </w:p>
        </w:tc>
        <w:tc>
          <w:tcPr>
            <w:tcW w:w="2180" w:type="dxa"/>
            <w:tcBorders>
              <w:top w:val="nil"/>
              <w:left w:val="single" w:sz="4" w:space="0" w:color="auto"/>
              <w:bottom w:val="single" w:sz="4" w:space="0" w:color="auto"/>
              <w:right w:val="single" w:sz="4" w:space="0" w:color="auto"/>
            </w:tcBorders>
            <w:shd w:val="clear" w:color="000000" w:fill="FFFFFF"/>
          </w:tcPr>
          <w:p w:rsidR="00E126CC" w:rsidRPr="00E126CC" w:rsidRDefault="00E126CC" w:rsidP="00E126CC">
            <w:pPr>
              <w:jc w:val="right"/>
              <w:rPr>
                <w:rFonts w:ascii="Arial" w:hAnsi="Arial" w:cs="Arial"/>
                <w:b/>
                <w:sz w:val="17"/>
                <w:szCs w:val="17"/>
              </w:rPr>
            </w:pPr>
            <w:r w:rsidRPr="00E126CC">
              <w:rPr>
                <w:rFonts w:ascii="Arial" w:hAnsi="Arial" w:cs="Arial"/>
                <w:b/>
                <w:sz w:val="17"/>
                <w:szCs w:val="17"/>
              </w:rPr>
              <w:t xml:space="preserve">796,333,297 </w:t>
            </w:r>
          </w:p>
        </w:tc>
      </w:tr>
    </w:tbl>
    <w:p w:rsidR="00A21366" w:rsidRDefault="00A21366" w:rsidP="00432E48">
      <w:pPr>
        <w:spacing w:before="80" w:line="250" w:lineRule="exact"/>
        <w:ind w:left="709"/>
        <w:jc w:val="both"/>
        <w:rPr>
          <w:rFonts w:ascii="Arial" w:eastAsia="Calibri" w:hAnsi="Arial" w:cs="Arial"/>
          <w:spacing w:val="-1"/>
          <w:sz w:val="17"/>
          <w:szCs w:val="17"/>
        </w:rPr>
      </w:pPr>
    </w:p>
    <w:p w:rsidR="00A21366" w:rsidRDefault="00A21366">
      <w:pPr>
        <w:rPr>
          <w:rFonts w:ascii="Arial" w:eastAsia="Calibri" w:hAnsi="Arial" w:cs="Arial"/>
          <w:spacing w:val="-1"/>
          <w:sz w:val="17"/>
          <w:szCs w:val="17"/>
        </w:rPr>
      </w:pPr>
      <w:r>
        <w:rPr>
          <w:rFonts w:ascii="Arial" w:eastAsia="Calibri" w:hAnsi="Arial" w:cs="Arial"/>
          <w:spacing w:val="-1"/>
          <w:sz w:val="17"/>
          <w:szCs w:val="17"/>
        </w:rPr>
        <w:br w:type="page"/>
      </w: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C323D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C323DF" w:rsidRPr="002D70DA" w:rsidTr="00C323D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C323DF" w:rsidRPr="00E10447" w:rsidRDefault="00C323DF" w:rsidP="00C323DF">
            <w:pPr>
              <w:rPr>
                <w:rFonts w:ascii="Arial" w:hAnsi="Arial" w:cs="Arial"/>
                <w:sz w:val="17"/>
                <w:szCs w:val="17"/>
              </w:rPr>
            </w:pPr>
            <w:r w:rsidRPr="00E10447">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 74,340,774 </w:t>
            </w:r>
          </w:p>
        </w:tc>
        <w:tc>
          <w:tcPr>
            <w:tcW w:w="2189" w:type="dxa"/>
            <w:gridSpan w:val="2"/>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 72,120,092 </w:t>
            </w:r>
          </w:p>
        </w:tc>
      </w:tr>
      <w:tr w:rsidR="00C323DF" w:rsidRPr="002D70DA" w:rsidTr="00C323DF">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C323DF" w:rsidRPr="00E10447" w:rsidRDefault="00C323DF" w:rsidP="00C323DF">
            <w:pPr>
              <w:rPr>
                <w:rFonts w:ascii="Arial" w:hAnsi="Arial" w:cs="Arial"/>
                <w:sz w:val="17"/>
                <w:szCs w:val="17"/>
              </w:rPr>
            </w:pPr>
            <w:r w:rsidRPr="00E10447">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 3,820,410 </w:t>
            </w:r>
          </w:p>
        </w:tc>
        <w:tc>
          <w:tcPr>
            <w:tcW w:w="2189" w:type="dxa"/>
            <w:gridSpan w:val="2"/>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 -   </w:t>
            </w:r>
          </w:p>
        </w:tc>
      </w:tr>
      <w:tr w:rsidR="00C323DF" w:rsidRPr="002D70DA" w:rsidTr="00C323DF">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C323DF" w:rsidRPr="002D70DA" w:rsidRDefault="00C323DF" w:rsidP="00C323D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323DF" w:rsidRPr="00C323DF" w:rsidRDefault="00C323DF" w:rsidP="00C323DF">
            <w:pPr>
              <w:jc w:val="right"/>
              <w:rPr>
                <w:rFonts w:ascii="Arial" w:hAnsi="Arial" w:cs="Arial"/>
                <w:b/>
                <w:sz w:val="17"/>
                <w:szCs w:val="17"/>
              </w:rPr>
            </w:pPr>
            <w:r w:rsidRPr="00C323DF">
              <w:rPr>
                <w:rFonts w:ascii="Arial" w:hAnsi="Arial" w:cs="Arial"/>
                <w:b/>
                <w:sz w:val="17"/>
                <w:szCs w:val="17"/>
              </w:rPr>
              <w:t xml:space="preserve"> 78,161,184 </w:t>
            </w:r>
          </w:p>
        </w:tc>
        <w:tc>
          <w:tcPr>
            <w:tcW w:w="2179" w:type="dxa"/>
            <w:tcBorders>
              <w:top w:val="nil"/>
              <w:left w:val="single" w:sz="4" w:space="0" w:color="auto"/>
              <w:bottom w:val="single" w:sz="4" w:space="0" w:color="auto"/>
              <w:right w:val="single" w:sz="4" w:space="0" w:color="auto"/>
            </w:tcBorders>
            <w:shd w:val="clear" w:color="000000" w:fill="FFFFFF"/>
          </w:tcPr>
          <w:p w:rsidR="00C323DF" w:rsidRPr="00C323DF" w:rsidRDefault="00C323DF" w:rsidP="00C323DF">
            <w:pPr>
              <w:jc w:val="right"/>
              <w:rPr>
                <w:rFonts w:ascii="Arial" w:hAnsi="Arial" w:cs="Arial"/>
                <w:b/>
                <w:sz w:val="17"/>
                <w:szCs w:val="17"/>
              </w:rPr>
            </w:pPr>
            <w:r w:rsidRPr="00C323DF">
              <w:rPr>
                <w:rFonts w:ascii="Arial" w:hAnsi="Arial" w:cs="Arial"/>
                <w:b/>
                <w:sz w:val="17"/>
                <w:szCs w:val="17"/>
              </w:rPr>
              <w:t xml:space="preserve"> 72,120,092 </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incremento en el saldo del rubro Activos Intangibles, corresponde </w:t>
      </w:r>
      <w:r w:rsidR="00E10447">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sidR="00A21366">
        <w:rPr>
          <w:rFonts w:ascii="Arial" w:eastAsia="Calibri" w:hAnsi="Arial" w:cs="Arial"/>
          <w:spacing w:val="-1"/>
          <w:sz w:val="17"/>
          <w:szCs w:val="17"/>
        </w:rPr>
        <w:t>incorporación de L</w:t>
      </w:r>
      <w:r w:rsidRPr="00D33839">
        <w:rPr>
          <w:rFonts w:ascii="Arial" w:eastAsia="Calibri" w:hAnsi="Arial" w:cs="Arial"/>
          <w:spacing w:val="-1"/>
          <w:sz w:val="17"/>
          <w:szCs w:val="17"/>
        </w:rPr>
        <w:t>icencias por parte de</w:t>
      </w:r>
      <w:r w:rsidR="00C323DF">
        <w:rPr>
          <w:rFonts w:ascii="Arial" w:eastAsia="Calibri" w:hAnsi="Arial" w:cs="Arial"/>
          <w:spacing w:val="-1"/>
          <w:sz w:val="17"/>
          <w:szCs w:val="17"/>
        </w:rPr>
        <w:t xml:space="preserve">l </w:t>
      </w:r>
      <w:r w:rsidR="00C323DF" w:rsidRPr="00C323DF">
        <w:rPr>
          <w:rFonts w:ascii="Arial" w:eastAsia="Calibri" w:hAnsi="Arial" w:cs="Arial"/>
          <w:spacing w:val="-1"/>
          <w:sz w:val="17"/>
          <w:szCs w:val="17"/>
        </w:rPr>
        <w:t>Aeropuerto Intercontinental de Querétaro</w:t>
      </w:r>
      <w:r>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1B5113" w:rsidRDefault="001B5113">
      <w:pPr>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FC3" w:rsidRPr="002D70DA" w:rsidTr="00C323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C323DF" w:rsidRPr="002D70DA" w:rsidTr="00C323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23DF" w:rsidRPr="00C323DF" w:rsidRDefault="00C323DF" w:rsidP="00C323DF">
            <w:pPr>
              <w:rPr>
                <w:rFonts w:ascii="Arial" w:hAnsi="Arial" w:cs="Arial"/>
                <w:sz w:val="17"/>
                <w:szCs w:val="17"/>
              </w:rPr>
            </w:pPr>
            <w:r w:rsidRPr="00C323D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55,728,796 </w:t>
            </w:r>
          </w:p>
        </w:tc>
        <w:tc>
          <w:tcPr>
            <w:tcW w:w="2180" w:type="dxa"/>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53,330,118 </w:t>
            </w:r>
          </w:p>
        </w:tc>
      </w:tr>
      <w:tr w:rsidR="00C323DF" w:rsidRPr="002D70DA" w:rsidTr="00C323D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23DF" w:rsidRPr="00C323DF" w:rsidRDefault="00C323DF" w:rsidP="00C323DF">
            <w:pPr>
              <w:rPr>
                <w:rFonts w:ascii="Arial" w:hAnsi="Arial" w:cs="Arial"/>
                <w:sz w:val="17"/>
                <w:szCs w:val="17"/>
              </w:rPr>
            </w:pPr>
            <w:r w:rsidRPr="00C323D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24,736,888 </w:t>
            </w:r>
          </w:p>
        </w:tc>
        <w:tc>
          <w:tcPr>
            <w:tcW w:w="2180" w:type="dxa"/>
            <w:tcBorders>
              <w:top w:val="single" w:sz="4" w:space="0" w:color="auto"/>
              <w:left w:val="nil"/>
              <w:bottom w:val="single" w:sz="4" w:space="0" w:color="auto"/>
              <w:right w:val="single" w:sz="4" w:space="0" w:color="auto"/>
            </w:tcBorders>
            <w:shd w:val="clear" w:color="auto" w:fill="auto"/>
          </w:tcPr>
          <w:p w:rsidR="00C323DF" w:rsidRPr="00C323DF" w:rsidRDefault="00C323DF" w:rsidP="00C323DF">
            <w:pPr>
              <w:jc w:val="right"/>
              <w:rPr>
                <w:rFonts w:ascii="Arial" w:hAnsi="Arial" w:cs="Arial"/>
                <w:sz w:val="17"/>
                <w:szCs w:val="17"/>
              </w:rPr>
            </w:pPr>
            <w:r w:rsidRPr="00C323DF">
              <w:rPr>
                <w:rFonts w:ascii="Arial" w:hAnsi="Arial" w:cs="Arial"/>
                <w:sz w:val="17"/>
                <w:szCs w:val="17"/>
              </w:rPr>
              <w:t xml:space="preserve">20,005,778 </w:t>
            </w:r>
          </w:p>
        </w:tc>
      </w:tr>
      <w:tr w:rsidR="00C323DF" w:rsidRPr="002D70DA" w:rsidTr="00C323DF">
        <w:trPr>
          <w:trHeight w:val="240"/>
          <w:jc w:val="center"/>
        </w:trPr>
        <w:tc>
          <w:tcPr>
            <w:tcW w:w="4900" w:type="dxa"/>
            <w:tcBorders>
              <w:top w:val="nil"/>
              <w:left w:val="nil"/>
              <w:bottom w:val="nil"/>
              <w:right w:val="single" w:sz="4" w:space="0" w:color="auto"/>
            </w:tcBorders>
            <w:shd w:val="clear" w:color="000000" w:fill="FFFFFF"/>
            <w:vAlign w:val="center"/>
            <w:hideMark/>
          </w:tcPr>
          <w:p w:rsidR="00C323DF" w:rsidRPr="002D70DA" w:rsidRDefault="00C323DF" w:rsidP="00C323D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323DF" w:rsidRPr="00C323DF" w:rsidRDefault="00C323DF" w:rsidP="00C323DF">
            <w:pPr>
              <w:jc w:val="right"/>
              <w:rPr>
                <w:rFonts w:ascii="Arial" w:hAnsi="Arial" w:cs="Arial"/>
                <w:b/>
                <w:sz w:val="17"/>
                <w:szCs w:val="17"/>
              </w:rPr>
            </w:pPr>
            <w:r w:rsidRPr="00C323DF">
              <w:rPr>
                <w:rFonts w:ascii="Arial" w:hAnsi="Arial" w:cs="Arial"/>
                <w:b/>
                <w:sz w:val="17"/>
                <w:szCs w:val="17"/>
              </w:rPr>
              <w:t xml:space="preserve">80,465,685 </w:t>
            </w:r>
          </w:p>
        </w:tc>
        <w:tc>
          <w:tcPr>
            <w:tcW w:w="2180" w:type="dxa"/>
            <w:tcBorders>
              <w:top w:val="nil"/>
              <w:left w:val="single" w:sz="4" w:space="0" w:color="auto"/>
              <w:bottom w:val="single" w:sz="4" w:space="0" w:color="auto"/>
              <w:right w:val="single" w:sz="4" w:space="0" w:color="auto"/>
            </w:tcBorders>
            <w:shd w:val="clear" w:color="000000" w:fill="FFFFFF"/>
          </w:tcPr>
          <w:p w:rsidR="00C323DF" w:rsidRPr="00C323DF" w:rsidRDefault="00C323DF" w:rsidP="00C323DF">
            <w:pPr>
              <w:jc w:val="right"/>
              <w:rPr>
                <w:rFonts w:ascii="Arial" w:hAnsi="Arial" w:cs="Arial"/>
                <w:b/>
                <w:sz w:val="17"/>
                <w:szCs w:val="17"/>
              </w:rPr>
            </w:pPr>
            <w:r w:rsidRPr="00C323DF">
              <w:rPr>
                <w:rFonts w:ascii="Arial" w:hAnsi="Arial" w:cs="Arial"/>
                <w:b/>
                <w:sz w:val="17"/>
                <w:szCs w:val="17"/>
              </w:rPr>
              <w:t xml:space="preserve">73,335,896 </w:t>
            </w:r>
          </w:p>
        </w:tc>
      </w:tr>
    </w:tbl>
    <w:p w:rsidR="00FB2635" w:rsidRDefault="00FB2635" w:rsidP="00145CB3">
      <w:pPr>
        <w:spacing w:before="80" w:line="250" w:lineRule="exact"/>
        <w:ind w:left="709"/>
        <w:jc w:val="both"/>
        <w:rPr>
          <w:rFonts w:ascii="Arial" w:eastAsia="Calibri" w:hAnsi="Arial" w:cs="Arial"/>
          <w:spacing w:val="-1"/>
          <w:sz w:val="17"/>
          <w:szCs w:val="17"/>
        </w:rPr>
      </w:pPr>
    </w:p>
    <w:p w:rsidR="00D33839" w:rsidRDefault="00D33839">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9831D5">
        <w:rPr>
          <w:rFonts w:ascii="Arial" w:eastAsia="Calibri" w:hAnsi="Arial" w:cs="Arial"/>
          <w:spacing w:val="-1"/>
          <w:sz w:val="17"/>
          <w:szCs w:val="17"/>
        </w:rPr>
        <w:t>2019</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9"/>
        <w:gridCol w:w="1446"/>
        <w:gridCol w:w="1443"/>
      </w:tblGrid>
      <w:tr w:rsidR="006E6D44" w:rsidRPr="002D70DA" w:rsidTr="00B4139E">
        <w:trPr>
          <w:trHeight w:val="299"/>
          <w:jc w:val="center"/>
        </w:trPr>
        <w:tc>
          <w:tcPr>
            <w:tcW w:w="2567"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6"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B4139E">
        <w:trPr>
          <w:trHeight w:val="299"/>
          <w:jc w:val="center"/>
        </w:trPr>
        <w:tc>
          <w:tcPr>
            <w:tcW w:w="2567"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6"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B4139E" w:rsidRPr="002D70DA" w:rsidTr="00B4139E">
        <w:trPr>
          <w:trHeight w:val="240"/>
          <w:jc w:val="center"/>
        </w:trPr>
        <w:tc>
          <w:tcPr>
            <w:tcW w:w="2567" w:type="pct"/>
            <w:tcBorders>
              <w:top w:val="nil"/>
              <w:left w:val="single" w:sz="4" w:space="0" w:color="auto"/>
              <w:bottom w:val="single" w:sz="4" w:space="0" w:color="auto"/>
              <w:right w:val="single" w:sz="4" w:space="0" w:color="auto"/>
            </w:tcBorders>
            <w:shd w:val="clear" w:color="auto" w:fill="auto"/>
            <w:vAlign w:val="center"/>
            <w:hideMark/>
          </w:tcPr>
          <w:p w:rsidR="00B4139E" w:rsidRPr="002D70DA" w:rsidRDefault="00B4139E" w:rsidP="00B4139E">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B4139E" w:rsidRPr="00B4139E" w:rsidRDefault="00B4139E" w:rsidP="00B4139E">
            <w:pPr>
              <w:jc w:val="right"/>
              <w:rPr>
                <w:rFonts w:ascii="Arial" w:hAnsi="Arial" w:cs="Arial"/>
                <w:b/>
                <w:sz w:val="17"/>
                <w:szCs w:val="17"/>
              </w:rPr>
            </w:pPr>
            <w:r w:rsidRPr="00B4139E">
              <w:rPr>
                <w:rFonts w:ascii="Arial" w:hAnsi="Arial" w:cs="Arial"/>
                <w:b/>
                <w:sz w:val="17"/>
                <w:szCs w:val="17"/>
              </w:rPr>
              <w:t xml:space="preserve"> 56,407,922 </w:t>
            </w:r>
          </w:p>
        </w:tc>
        <w:tc>
          <w:tcPr>
            <w:tcW w:w="1216" w:type="pct"/>
            <w:tcBorders>
              <w:top w:val="nil"/>
              <w:left w:val="nil"/>
              <w:bottom w:val="single" w:sz="4" w:space="0" w:color="auto"/>
              <w:right w:val="single" w:sz="4" w:space="0" w:color="auto"/>
            </w:tcBorders>
            <w:shd w:val="clear" w:color="auto" w:fill="auto"/>
          </w:tcPr>
          <w:p w:rsidR="00B4139E" w:rsidRPr="00B4139E" w:rsidRDefault="00B4139E" w:rsidP="00B4139E">
            <w:pPr>
              <w:jc w:val="right"/>
              <w:rPr>
                <w:rFonts w:ascii="Arial" w:hAnsi="Arial" w:cs="Arial"/>
                <w:b/>
                <w:sz w:val="17"/>
                <w:szCs w:val="17"/>
              </w:rPr>
            </w:pPr>
            <w:r w:rsidRPr="00B4139E">
              <w:rPr>
                <w:rFonts w:ascii="Arial" w:hAnsi="Arial" w:cs="Arial"/>
                <w:b/>
                <w:sz w:val="17"/>
                <w:szCs w:val="17"/>
              </w:rPr>
              <w:t xml:space="preserve"> 96,503,100 </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p>
    <w:p w:rsidR="005C6C27" w:rsidRDefault="005C6C27">
      <w:pPr>
        <w:rPr>
          <w:rFonts w:ascii="Arial" w:eastAsia="Calibri" w:hAnsi="Arial" w:cs="Arial"/>
          <w:spacing w:val="-1"/>
          <w:sz w:val="17"/>
          <w:szCs w:val="17"/>
        </w:rPr>
      </w:pPr>
    </w:p>
    <w:p w:rsidR="00B4139E" w:rsidRDefault="00B4139E">
      <w:pPr>
        <w:rPr>
          <w:rFonts w:ascii="Arial" w:eastAsia="Calibri" w:hAnsi="Arial" w:cs="Arial"/>
          <w:spacing w:val="-1"/>
          <w:sz w:val="17"/>
          <w:szCs w:val="17"/>
        </w:rPr>
      </w:pPr>
      <w:r>
        <w:rPr>
          <w:rFonts w:ascii="Arial" w:eastAsia="Calibri" w:hAnsi="Arial" w:cs="Arial"/>
          <w:spacing w:val="-1"/>
          <w:sz w:val="17"/>
          <w:szCs w:val="17"/>
        </w:rPr>
        <w:br w:type="page"/>
      </w: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FB2DE1" w:rsidRPr="002D70DA" w:rsidTr="00B41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DE1"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B4139E" w:rsidRPr="002D70DA" w:rsidTr="00B41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4139E" w:rsidRPr="00E5417D" w:rsidRDefault="00B4139E" w:rsidP="00B4139E">
            <w:pPr>
              <w:rPr>
                <w:rFonts w:ascii="Arial" w:hAnsi="Arial" w:cs="Arial"/>
                <w:color w:val="000000"/>
                <w:sz w:val="17"/>
                <w:szCs w:val="17"/>
              </w:rPr>
            </w:pPr>
            <w:r w:rsidRPr="00E5417D">
              <w:rPr>
                <w:rFonts w:ascii="Arial" w:hAnsi="Arial" w:cs="Arial"/>
                <w:color w:val="000000"/>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B4139E" w:rsidRPr="005C6C27" w:rsidRDefault="00B4139E" w:rsidP="00B4139E">
            <w:pPr>
              <w:jc w:val="right"/>
              <w:rPr>
                <w:rFonts w:ascii="Arial" w:hAnsi="Arial" w:cs="Arial"/>
                <w:sz w:val="17"/>
                <w:szCs w:val="17"/>
              </w:rPr>
            </w:pPr>
            <w:r w:rsidRPr="005C6C27">
              <w:rPr>
                <w:rFonts w:ascii="Arial" w:hAnsi="Arial" w:cs="Arial"/>
                <w:sz w:val="17"/>
                <w:szCs w:val="17"/>
              </w:rPr>
              <w:t>-</w:t>
            </w:r>
            <w:r>
              <w:rPr>
                <w:rFonts w:ascii="Arial" w:hAnsi="Arial" w:cs="Arial"/>
                <w:sz w:val="17"/>
                <w:szCs w:val="17"/>
              </w:rPr>
              <w:t>78,001,827</w:t>
            </w:r>
            <w:r w:rsidRPr="005C6C27">
              <w:rPr>
                <w:rFonts w:ascii="Arial" w:hAnsi="Arial" w:cs="Arial"/>
                <w:sz w:val="17"/>
                <w:szCs w:val="17"/>
              </w:rPr>
              <w:t xml:space="preserve"> </w:t>
            </w:r>
          </w:p>
        </w:tc>
      </w:tr>
      <w:tr w:rsidR="00B4139E" w:rsidRPr="002D70DA" w:rsidTr="00B41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4139E" w:rsidRPr="00E5417D" w:rsidRDefault="00B4139E" w:rsidP="00B4139E">
            <w:pPr>
              <w:rPr>
                <w:rFonts w:ascii="Arial" w:hAnsi="Arial" w:cs="Arial"/>
                <w:color w:val="000000"/>
                <w:sz w:val="17"/>
                <w:szCs w:val="17"/>
              </w:rPr>
            </w:pPr>
            <w:r w:rsidRPr="00E5417D">
              <w:rPr>
                <w:rFonts w:ascii="Arial" w:hAnsi="Arial" w:cs="Arial"/>
                <w:color w:val="000000"/>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B4139E" w:rsidRPr="005C6C27" w:rsidRDefault="00B4139E" w:rsidP="00C03A2D">
            <w:pPr>
              <w:jc w:val="right"/>
              <w:rPr>
                <w:rFonts w:ascii="Arial" w:hAnsi="Arial" w:cs="Arial"/>
                <w:sz w:val="17"/>
                <w:szCs w:val="17"/>
              </w:rPr>
            </w:pPr>
            <w:r w:rsidRPr="005C6C27">
              <w:rPr>
                <w:rFonts w:ascii="Arial" w:hAnsi="Arial" w:cs="Arial"/>
                <w:sz w:val="17"/>
                <w:szCs w:val="17"/>
              </w:rPr>
              <w:t>-</w:t>
            </w:r>
            <w:r w:rsidR="00C03A2D">
              <w:rPr>
                <w:rFonts w:ascii="Arial" w:hAnsi="Arial" w:cs="Arial"/>
                <w:sz w:val="17"/>
                <w:szCs w:val="17"/>
              </w:rPr>
              <w:t>18,501,273</w:t>
            </w:r>
            <w:r w:rsidRPr="005C6C27">
              <w:rPr>
                <w:rFonts w:ascii="Arial" w:hAnsi="Arial" w:cs="Arial"/>
                <w:sz w:val="17"/>
                <w:szCs w:val="17"/>
              </w:rPr>
              <w:t xml:space="preserve"> </w:t>
            </w:r>
          </w:p>
        </w:tc>
      </w:tr>
      <w:tr w:rsidR="00FB2DE1" w:rsidRPr="002D70DA" w:rsidTr="00B4139E">
        <w:trPr>
          <w:trHeight w:val="240"/>
          <w:jc w:val="center"/>
        </w:trPr>
        <w:tc>
          <w:tcPr>
            <w:tcW w:w="4900" w:type="dxa"/>
            <w:tcBorders>
              <w:top w:val="nil"/>
              <w:left w:val="nil"/>
              <w:bottom w:val="nil"/>
              <w:right w:val="single" w:sz="4" w:space="0" w:color="auto"/>
            </w:tcBorders>
            <w:shd w:val="clear" w:color="000000" w:fill="FFFFFF"/>
            <w:vAlign w:val="center"/>
            <w:hideMark/>
          </w:tcPr>
          <w:p w:rsidR="00FB2DE1" w:rsidRPr="002D70DA" w:rsidRDefault="00FB2DE1" w:rsidP="00FB2DE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FB2DE1" w:rsidRPr="00FB2DE1" w:rsidRDefault="00B47560" w:rsidP="00FB2DE1">
            <w:pPr>
              <w:jc w:val="right"/>
              <w:rPr>
                <w:rFonts w:ascii="Arial" w:hAnsi="Arial" w:cs="Arial"/>
                <w:b/>
                <w:sz w:val="17"/>
                <w:szCs w:val="17"/>
              </w:rPr>
            </w:pPr>
            <w:r w:rsidRPr="00B47560">
              <w:rPr>
                <w:rFonts w:ascii="Arial" w:hAnsi="Arial" w:cs="Arial"/>
                <w:b/>
                <w:sz w:val="17"/>
                <w:szCs w:val="17"/>
              </w:rPr>
              <w:t>-</w:t>
            </w:r>
            <w:r w:rsidR="00C03A2D" w:rsidRPr="00C03A2D">
              <w:rPr>
                <w:rFonts w:ascii="Arial" w:hAnsi="Arial" w:cs="Arial"/>
                <w:b/>
                <w:sz w:val="17"/>
                <w:szCs w:val="17"/>
              </w:rPr>
              <w:t>96,503,100</w:t>
            </w:r>
          </w:p>
        </w:tc>
      </w:tr>
    </w:tbl>
    <w:p w:rsidR="00403D2A" w:rsidRDefault="00403D2A">
      <w:pPr>
        <w:rPr>
          <w:rFonts w:ascii="Arial" w:eastAsia="Calibri" w:hAnsi="Arial" w:cs="Arial"/>
          <w:b/>
          <w:spacing w:val="-1"/>
          <w:sz w:val="17"/>
          <w:szCs w:val="17"/>
        </w:rPr>
      </w:pP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Pr>
          <w:rFonts w:ascii="Arial" w:eastAsia="Calibri" w:hAnsi="Arial" w:cs="Arial"/>
          <w:spacing w:val="-1"/>
          <w:sz w:val="17"/>
          <w:szCs w:val="17"/>
        </w:rPr>
        <w:t>:</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D27A84">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D27A84" w:rsidRPr="002D70DA" w:rsidTr="00D27A84">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D27A84" w:rsidRPr="00FA7272" w:rsidRDefault="00D27A84" w:rsidP="00D27A84">
            <w:pPr>
              <w:rPr>
                <w:rFonts w:ascii="Arial" w:hAnsi="Arial" w:cs="Arial"/>
                <w:sz w:val="17"/>
                <w:szCs w:val="17"/>
              </w:rPr>
            </w:pPr>
            <w:r w:rsidRPr="00FA7272">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 230,149,544 </w:t>
            </w:r>
          </w:p>
        </w:tc>
        <w:tc>
          <w:tcPr>
            <w:tcW w:w="2189" w:type="dxa"/>
            <w:gridSpan w:val="2"/>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 230,149,544 </w:t>
            </w:r>
          </w:p>
        </w:tc>
      </w:tr>
      <w:tr w:rsidR="00D27A84" w:rsidRPr="002D70DA" w:rsidTr="00D27A84">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D27A84" w:rsidRPr="00FA7272" w:rsidRDefault="00D27A84" w:rsidP="00D27A84">
            <w:pPr>
              <w:rPr>
                <w:rFonts w:ascii="Arial" w:hAnsi="Arial" w:cs="Arial"/>
                <w:sz w:val="17"/>
                <w:szCs w:val="17"/>
              </w:rPr>
            </w:pPr>
            <w:r w:rsidRPr="00D27A84">
              <w:rPr>
                <w:rFonts w:ascii="Arial" w:hAnsi="Arial" w:cs="Arial"/>
                <w:sz w:val="17"/>
                <w:szCs w:val="17"/>
              </w:rPr>
              <w:t>Beneficios al Retiro de E</w:t>
            </w:r>
            <w:r>
              <w:rPr>
                <w:rFonts w:ascii="Arial" w:hAnsi="Arial" w:cs="Arial"/>
                <w:sz w:val="17"/>
                <w:szCs w:val="17"/>
              </w:rPr>
              <w:t>mpleados Pagados por Adelantado</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-229,922,011 </w:t>
            </w:r>
          </w:p>
        </w:tc>
        <w:tc>
          <w:tcPr>
            <w:tcW w:w="2189" w:type="dxa"/>
            <w:gridSpan w:val="2"/>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 103,948,075 </w:t>
            </w:r>
          </w:p>
        </w:tc>
      </w:tr>
      <w:tr w:rsidR="00D27A84" w:rsidRPr="002D70DA" w:rsidTr="00D27A84">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D27A84" w:rsidRPr="00FA7272" w:rsidRDefault="00D27A84" w:rsidP="00D27A84">
            <w:pPr>
              <w:rPr>
                <w:rFonts w:ascii="Arial" w:hAnsi="Arial" w:cs="Arial"/>
                <w:sz w:val="17"/>
                <w:szCs w:val="17"/>
              </w:rPr>
            </w:pPr>
            <w:r w:rsidRPr="00FA7272">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-209,269 </w:t>
            </w:r>
          </w:p>
        </w:tc>
        <w:tc>
          <w:tcPr>
            <w:tcW w:w="2189" w:type="dxa"/>
            <w:gridSpan w:val="2"/>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-191,005 </w:t>
            </w:r>
          </w:p>
        </w:tc>
      </w:tr>
      <w:tr w:rsidR="00D27A84" w:rsidRPr="002D70DA" w:rsidTr="00D27A84">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D27A84" w:rsidRPr="002D70DA" w:rsidRDefault="00D27A84" w:rsidP="00D27A8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27A84" w:rsidRPr="00D27A84" w:rsidRDefault="00D27A84" w:rsidP="00D27A84">
            <w:pPr>
              <w:jc w:val="right"/>
              <w:rPr>
                <w:rFonts w:ascii="Arial" w:hAnsi="Arial" w:cs="Arial"/>
                <w:b/>
                <w:sz w:val="17"/>
                <w:szCs w:val="17"/>
              </w:rPr>
            </w:pPr>
            <w:r w:rsidRPr="00D27A84">
              <w:rPr>
                <w:rFonts w:ascii="Arial" w:hAnsi="Arial" w:cs="Arial"/>
                <w:b/>
                <w:sz w:val="17"/>
                <w:szCs w:val="17"/>
              </w:rPr>
              <w:t xml:space="preserve"> 18,264 </w:t>
            </w:r>
          </w:p>
        </w:tc>
        <w:tc>
          <w:tcPr>
            <w:tcW w:w="2179" w:type="dxa"/>
            <w:tcBorders>
              <w:top w:val="nil"/>
              <w:left w:val="single" w:sz="4" w:space="0" w:color="auto"/>
              <w:bottom w:val="single" w:sz="4" w:space="0" w:color="auto"/>
              <w:right w:val="single" w:sz="4" w:space="0" w:color="auto"/>
            </w:tcBorders>
            <w:shd w:val="clear" w:color="000000" w:fill="FFFFFF"/>
          </w:tcPr>
          <w:p w:rsidR="00D27A84" w:rsidRPr="00D27A84" w:rsidRDefault="00D27A84" w:rsidP="00D27A84">
            <w:pPr>
              <w:jc w:val="right"/>
              <w:rPr>
                <w:rFonts w:ascii="Arial" w:hAnsi="Arial" w:cs="Arial"/>
                <w:b/>
                <w:sz w:val="17"/>
                <w:szCs w:val="17"/>
              </w:rPr>
            </w:pPr>
            <w:r w:rsidRPr="00D27A84">
              <w:rPr>
                <w:rFonts w:ascii="Arial" w:hAnsi="Arial" w:cs="Arial"/>
                <w:b/>
                <w:sz w:val="17"/>
                <w:szCs w:val="17"/>
              </w:rPr>
              <w:t xml:space="preserve"> 333,906,614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A7272" w:rsidRPr="002D70DA" w:rsidTr="00D27A8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D27A84" w:rsidRPr="002D70DA" w:rsidTr="00D27A8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27A84" w:rsidRPr="00D27A84" w:rsidRDefault="00D27A84" w:rsidP="00D27A84">
            <w:pPr>
              <w:rPr>
                <w:rFonts w:ascii="Arial" w:hAnsi="Arial" w:cs="Arial"/>
                <w:sz w:val="17"/>
                <w:szCs w:val="17"/>
              </w:rPr>
            </w:pPr>
            <w:r w:rsidRPr="00D27A84">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333,870,086 </w:t>
            </w:r>
          </w:p>
        </w:tc>
      </w:tr>
      <w:tr w:rsidR="00D27A84" w:rsidRPr="002D70DA" w:rsidTr="00D27A8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27A84" w:rsidRPr="00D27A84" w:rsidRDefault="00D27A84" w:rsidP="00D27A84">
            <w:pPr>
              <w:rPr>
                <w:rFonts w:ascii="Arial" w:hAnsi="Arial" w:cs="Arial"/>
                <w:sz w:val="17"/>
                <w:szCs w:val="17"/>
              </w:rPr>
            </w:pPr>
            <w:r w:rsidRPr="00D27A84">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18,264 </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36,528 </w:t>
            </w:r>
          </w:p>
        </w:tc>
      </w:tr>
      <w:tr w:rsidR="00D27A84" w:rsidRPr="002D70DA" w:rsidTr="00D27A84">
        <w:trPr>
          <w:trHeight w:val="240"/>
          <w:jc w:val="center"/>
        </w:trPr>
        <w:tc>
          <w:tcPr>
            <w:tcW w:w="4900" w:type="dxa"/>
            <w:tcBorders>
              <w:top w:val="nil"/>
              <w:left w:val="nil"/>
              <w:bottom w:val="nil"/>
              <w:right w:val="single" w:sz="4" w:space="0" w:color="auto"/>
            </w:tcBorders>
            <w:shd w:val="clear" w:color="000000" w:fill="FFFFFF"/>
            <w:vAlign w:val="center"/>
            <w:hideMark/>
          </w:tcPr>
          <w:p w:rsidR="00D27A84" w:rsidRPr="002D70DA" w:rsidRDefault="00D27A84" w:rsidP="00D27A8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27A84" w:rsidRPr="00D27A84" w:rsidRDefault="00D27A84" w:rsidP="00D27A84">
            <w:pPr>
              <w:jc w:val="right"/>
              <w:rPr>
                <w:rFonts w:ascii="Arial" w:hAnsi="Arial" w:cs="Arial"/>
                <w:b/>
                <w:sz w:val="17"/>
                <w:szCs w:val="17"/>
              </w:rPr>
            </w:pPr>
            <w:r w:rsidRPr="00D27A84">
              <w:rPr>
                <w:rFonts w:ascii="Arial" w:hAnsi="Arial" w:cs="Arial"/>
                <w:b/>
                <w:sz w:val="17"/>
                <w:szCs w:val="17"/>
              </w:rPr>
              <w:t xml:space="preserve">18,264 </w:t>
            </w:r>
          </w:p>
        </w:tc>
        <w:tc>
          <w:tcPr>
            <w:tcW w:w="2180" w:type="dxa"/>
            <w:tcBorders>
              <w:top w:val="nil"/>
              <w:left w:val="single" w:sz="4" w:space="0" w:color="auto"/>
              <w:bottom w:val="single" w:sz="4" w:space="0" w:color="auto"/>
              <w:right w:val="single" w:sz="4" w:space="0" w:color="auto"/>
            </w:tcBorders>
            <w:shd w:val="clear" w:color="000000" w:fill="FFFFFF"/>
          </w:tcPr>
          <w:p w:rsidR="00D27A84" w:rsidRPr="00D27A84" w:rsidRDefault="00D27A84" w:rsidP="00D27A84">
            <w:pPr>
              <w:jc w:val="right"/>
              <w:rPr>
                <w:rFonts w:ascii="Arial" w:hAnsi="Arial" w:cs="Arial"/>
                <w:b/>
                <w:sz w:val="17"/>
                <w:szCs w:val="17"/>
              </w:rPr>
            </w:pPr>
            <w:r w:rsidRPr="00D27A84">
              <w:rPr>
                <w:rFonts w:ascii="Arial" w:hAnsi="Arial" w:cs="Arial"/>
                <w:b/>
                <w:sz w:val="17"/>
                <w:szCs w:val="17"/>
              </w:rPr>
              <w:t xml:space="preserve">333,906,614 </w:t>
            </w:r>
          </w:p>
        </w:tc>
      </w:tr>
    </w:tbl>
    <w:p w:rsidR="00320566" w:rsidRDefault="00320566">
      <w:pPr>
        <w:rPr>
          <w:rFonts w:ascii="Arial" w:eastAsia="Calibri" w:hAnsi="Arial" w:cs="Arial"/>
          <w:spacing w:val="-1"/>
          <w:sz w:val="17"/>
          <w:szCs w:val="17"/>
        </w:rPr>
      </w:pPr>
    </w:p>
    <w:p w:rsidR="00320566" w:rsidRDefault="00320566">
      <w:pPr>
        <w:rPr>
          <w:rFonts w:ascii="Arial" w:eastAsia="Calibri" w:hAnsi="Arial" w:cs="Arial"/>
          <w:spacing w:val="-1"/>
          <w:sz w:val="17"/>
          <w:szCs w:val="17"/>
        </w:rPr>
      </w:pPr>
    </w:p>
    <w:p w:rsidR="00320566" w:rsidRDefault="00320566">
      <w:pPr>
        <w:rPr>
          <w:rFonts w:ascii="Arial" w:eastAsia="Calibri" w:hAnsi="Arial" w:cs="Arial"/>
          <w:spacing w:val="-1"/>
          <w:sz w:val="17"/>
          <w:szCs w:val="17"/>
        </w:rPr>
      </w:pPr>
    </w:p>
    <w:p w:rsidR="00320566" w:rsidRDefault="00320566" w:rsidP="00320566">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sidRPr="00320566">
        <w:rPr>
          <w:rFonts w:ascii="Arial" w:eastAsia="Calibri" w:hAnsi="Arial" w:cs="Arial"/>
          <w:spacing w:val="-1"/>
          <w:sz w:val="17"/>
          <w:szCs w:val="17"/>
        </w:rPr>
        <w:t>Otros Activos no Circulantes</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2019</w:t>
      </w:r>
      <w:r>
        <w:rPr>
          <w:rFonts w:ascii="Arial" w:eastAsia="Calibri" w:hAnsi="Arial" w:cs="Arial"/>
          <w:spacing w:val="-1"/>
          <w:sz w:val="17"/>
          <w:szCs w:val="17"/>
        </w:rPr>
        <w:t xml:space="preserve">, que es de </w:t>
      </w:r>
      <w:r w:rsidRPr="00320566">
        <w:rPr>
          <w:rFonts w:ascii="Arial" w:eastAsia="Calibri" w:hAnsi="Arial" w:cs="Arial"/>
          <w:spacing w:val="-1"/>
          <w:sz w:val="17"/>
          <w:szCs w:val="17"/>
        </w:rPr>
        <w:t>21</w:t>
      </w:r>
      <w:proofErr w:type="gramStart"/>
      <w:r w:rsidRPr="00320566">
        <w:rPr>
          <w:rFonts w:ascii="Arial" w:eastAsia="Calibri" w:hAnsi="Arial" w:cs="Arial"/>
          <w:spacing w:val="-1"/>
          <w:sz w:val="17"/>
          <w:szCs w:val="17"/>
        </w:rPr>
        <w:t>,854,760</w:t>
      </w:r>
      <w:proofErr w:type="gramEnd"/>
      <w:r>
        <w:rPr>
          <w:rFonts w:ascii="Arial" w:eastAsia="Calibri" w:hAnsi="Arial" w:cs="Arial"/>
          <w:spacing w:val="-1"/>
          <w:sz w:val="17"/>
          <w:szCs w:val="17"/>
        </w:rPr>
        <w:t xml:space="preserve"> registrado en los rubros </w:t>
      </w:r>
      <w:r w:rsidRPr="00320566">
        <w:rPr>
          <w:rFonts w:ascii="Arial" w:eastAsia="Calibri" w:hAnsi="Arial" w:cs="Arial"/>
          <w:spacing w:val="-1"/>
          <w:sz w:val="17"/>
          <w:szCs w:val="17"/>
        </w:rPr>
        <w:t>Bienes en Concesión</w:t>
      </w:r>
      <w:r>
        <w:rPr>
          <w:rFonts w:ascii="Arial" w:eastAsia="Calibri" w:hAnsi="Arial" w:cs="Arial"/>
          <w:spacing w:val="-1"/>
          <w:sz w:val="17"/>
          <w:szCs w:val="17"/>
        </w:rPr>
        <w:t xml:space="preserve"> y </w:t>
      </w:r>
      <w:r w:rsidRPr="00320566">
        <w:rPr>
          <w:rFonts w:ascii="Arial" w:eastAsia="Calibri" w:hAnsi="Arial" w:cs="Arial"/>
          <w:spacing w:val="-1"/>
          <w:sz w:val="17"/>
          <w:szCs w:val="17"/>
        </w:rPr>
        <w:t>Bienes en Comodato</w:t>
      </w:r>
      <w:r>
        <w:rPr>
          <w:rFonts w:ascii="Arial" w:eastAsia="Calibri" w:hAnsi="Arial" w:cs="Arial"/>
          <w:spacing w:val="-1"/>
          <w:sz w:val="17"/>
          <w:szCs w:val="17"/>
        </w:rPr>
        <w:t xml:space="preserve"> por un importe de </w:t>
      </w:r>
      <w:r w:rsidRPr="00320566">
        <w:rPr>
          <w:rFonts w:ascii="Arial" w:eastAsia="Calibri" w:hAnsi="Arial" w:cs="Arial"/>
          <w:spacing w:val="-1"/>
          <w:sz w:val="17"/>
          <w:szCs w:val="17"/>
        </w:rPr>
        <w:t xml:space="preserve">21,944,352 </w:t>
      </w:r>
      <w:r>
        <w:rPr>
          <w:rFonts w:ascii="Arial" w:eastAsia="Calibri" w:hAnsi="Arial" w:cs="Arial"/>
          <w:spacing w:val="-1"/>
          <w:sz w:val="17"/>
          <w:szCs w:val="17"/>
        </w:rPr>
        <w:t xml:space="preserve">y </w:t>
      </w:r>
      <w:r w:rsidRPr="00320566">
        <w:rPr>
          <w:rFonts w:ascii="Arial" w:eastAsia="Calibri" w:hAnsi="Arial" w:cs="Arial"/>
          <w:spacing w:val="-1"/>
          <w:sz w:val="17"/>
          <w:szCs w:val="17"/>
        </w:rPr>
        <w:t>-89,592</w:t>
      </w:r>
      <w:r>
        <w:rPr>
          <w:rFonts w:ascii="Arial" w:eastAsia="Calibri" w:hAnsi="Arial" w:cs="Arial"/>
          <w:spacing w:val="-1"/>
          <w:sz w:val="17"/>
          <w:szCs w:val="17"/>
        </w:rPr>
        <w:t xml:space="preserve"> respectivamente. Corresponden a la </w:t>
      </w:r>
      <w:r w:rsidRPr="00320566">
        <w:rPr>
          <w:rFonts w:ascii="Arial" w:eastAsia="Calibri" w:hAnsi="Arial" w:cs="Arial"/>
          <w:spacing w:val="-1"/>
          <w:sz w:val="17"/>
          <w:szCs w:val="17"/>
        </w:rPr>
        <w:t>Comisión Estatal de Aguas</w:t>
      </w:r>
      <w:r>
        <w:rPr>
          <w:rFonts w:ascii="Arial" w:eastAsia="Calibri" w:hAnsi="Arial" w:cs="Arial"/>
          <w:spacing w:val="-1"/>
          <w:sz w:val="17"/>
          <w:szCs w:val="17"/>
        </w:rPr>
        <w:t>.</w:t>
      </w:r>
    </w:p>
    <w:p w:rsidR="00320566" w:rsidRDefault="00320566">
      <w:pPr>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9831D5">
        <w:rPr>
          <w:rFonts w:ascii="Arial" w:eastAsia="Calibri" w:hAnsi="Arial" w:cs="Arial"/>
          <w:spacing w:val="-1"/>
          <w:sz w:val="17"/>
          <w:szCs w:val="17"/>
        </w:rPr>
        <w:t>2019</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113A98">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113A98" w:rsidRPr="002D70DA" w:rsidTr="00113A9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13A98" w:rsidRPr="0030750A" w:rsidRDefault="00113A98" w:rsidP="00113A98">
            <w:pPr>
              <w:rPr>
                <w:rFonts w:ascii="Arial" w:hAnsi="Arial" w:cs="Arial"/>
                <w:sz w:val="17"/>
                <w:szCs w:val="17"/>
              </w:rPr>
            </w:pPr>
            <w:r w:rsidRPr="0030750A">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98,977 </w:t>
            </w:r>
          </w:p>
        </w:tc>
        <w:tc>
          <w:tcPr>
            <w:tcW w:w="2148" w:type="dxa"/>
            <w:tcBorders>
              <w:top w:val="nil"/>
              <w:left w:val="single" w:sz="4" w:space="0" w:color="auto"/>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36,671 </w:t>
            </w:r>
          </w:p>
        </w:tc>
      </w:tr>
      <w:tr w:rsidR="00113A98" w:rsidRPr="002D70DA" w:rsidTr="00113A9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13A98" w:rsidRPr="0030750A" w:rsidRDefault="00113A98" w:rsidP="00113A98">
            <w:pPr>
              <w:rPr>
                <w:rFonts w:ascii="Arial" w:hAnsi="Arial" w:cs="Arial"/>
                <w:sz w:val="17"/>
                <w:szCs w:val="17"/>
              </w:rPr>
            </w:pPr>
            <w:r w:rsidRPr="0030750A">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11,008,848 </w:t>
            </w:r>
          </w:p>
        </w:tc>
        <w:tc>
          <w:tcPr>
            <w:tcW w:w="2148" w:type="dxa"/>
            <w:tcBorders>
              <w:top w:val="nil"/>
              <w:left w:val="single" w:sz="4" w:space="0" w:color="auto"/>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3,177,651 </w:t>
            </w:r>
          </w:p>
        </w:tc>
      </w:tr>
      <w:tr w:rsidR="00113A98" w:rsidRPr="002D70DA" w:rsidTr="00113A9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13A98" w:rsidRPr="0030750A" w:rsidRDefault="00113A98" w:rsidP="00113A98">
            <w:pPr>
              <w:rPr>
                <w:rFonts w:ascii="Arial" w:hAnsi="Arial" w:cs="Arial"/>
                <w:sz w:val="17"/>
                <w:szCs w:val="17"/>
              </w:rPr>
            </w:pPr>
            <w:r w:rsidRPr="00113A98">
              <w:rPr>
                <w:rFonts w:ascii="Arial" w:hAnsi="Arial" w:cs="Arial"/>
                <w:sz w:val="17"/>
                <w:szCs w:val="17"/>
              </w:rPr>
              <w:t>Contratistas por Obras Públicas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16,156 </w:t>
            </w:r>
          </w:p>
        </w:tc>
        <w:tc>
          <w:tcPr>
            <w:tcW w:w="2148" w:type="dxa"/>
            <w:tcBorders>
              <w:top w:val="nil"/>
              <w:left w:val="single" w:sz="4" w:space="0" w:color="auto"/>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8,234 </w:t>
            </w:r>
          </w:p>
        </w:tc>
      </w:tr>
      <w:tr w:rsidR="00113A98" w:rsidRPr="002D70DA" w:rsidTr="00113A9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13A98" w:rsidRPr="0030750A" w:rsidRDefault="00113A98" w:rsidP="00113A98">
            <w:pPr>
              <w:rPr>
                <w:rFonts w:ascii="Arial" w:hAnsi="Arial" w:cs="Arial"/>
                <w:sz w:val="17"/>
                <w:szCs w:val="17"/>
              </w:rPr>
            </w:pPr>
            <w:r w:rsidRPr="0030750A">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248,193,372 </w:t>
            </w:r>
          </w:p>
        </w:tc>
        <w:tc>
          <w:tcPr>
            <w:tcW w:w="2148" w:type="dxa"/>
            <w:tcBorders>
              <w:top w:val="nil"/>
              <w:left w:val="single" w:sz="4" w:space="0" w:color="auto"/>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198,660,520 </w:t>
            </w:r>
          </w:p>
        </w:tc>
      </w:tr>
      <w:tr w:rsidR="00113A98" w:rsidRPr="002D70DA" w:rsidTr="00113A9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13A98" w:rsidRPr="0030750A" w:rsidRDefault="00113A98" w:rsidP="00113A98">
            <w:pPr>
              <w:rPr>
                <w:rFonts w:ascii="Arial" w:hAnsi="Arial" w:cs="Arial"/>
                <w:sz w:val="17"/>
                <w:szCs w:val="17"/>
              </w:rPr>
            </w:pPr>
            <w:r w:rsidRPr="0030750A">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10,424,239 </w:t>
            </w:r>
          </w:p>
        </w:tc>
        <w:tc>
          <w:tcPr>
            <w:tcW w:w="2148" w:type="dxa"/>
            <w:tcBorders>
              <w:top w:val="nil"/>
              <w:left w:val="single" w:sz="4" w:space="0" w:color="auto"/>
              <w:bottom w:val="single" w:sz="4" w:space="0" w:color="auto"/>
              <w:right w:val="single" w:sz="4" w:space="0" w:color="auto"/>
            </w:tcBorders>
            <w:shd w:val="clear" w:color="auto" w:fill="auto"/>
          </w:tcPr>
          <w:p w:rsidR="00113A98" w:rsidRPr="00113A98" w:rsidRDefault="00113A98" w:rsidP="00113A98">
            <w:pPr>
              <w:jc w:val="right"/>
              <w:rPr>
                <w:rFonts w:ascii="Arial" w:hAnsi="Arial" w:cs="Arial"/>
                <w:sz w:val="17"/>
                <w:szCs w:val="17"/>
              </w:rPr>
            </w:pPr>
            <w:r w:rsidRPr="00113A98">
              <w:rPr>
                <w:rFonts w:ascii="Arial" w:hAnsi="Arial" w:cs="Arial"/>
                <w:sz w:val="17"/>
                <w:szCs w:val="17"/>
              </w:rPr>
              <w:t xml:space="preserve"> 11,428,691 </w:t>
            </w:r>
          </w:p>
        </w:tc>
      </w:tr>
      <w:tr w:rsidR="00113A98" w:rsidRPr="002D70DA" w:rsidTr="00113A98">
        <w:trPr>
          <w:trHeight w:val="240"/>
          <w:jc w:val="center"/>
        </w:trPr>
        <w:tc>
          <w:tcPr>
            <w:tcW w:w="4743" w:type="dxa"/>
            <w:tcBorders>
              <w:top w:val="single" w:sz="4" w:space="0" w:color="auto"/>
              <w:right w:val="single" w:sz="4" w:space="0" w:color="auto"/>
            </w:tcBorders>
            <w:shd w:val="clear" w:color="auto" w:fill="auto"/>
            <w:vAlign w:val="center"/>
          </w:tcPr>
          <w:p w:rsidR="00113A98" w:rsidRPr="00F93CE5" w:rsidRDefault="00113A98" w:rsidP="00113A9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113A98" w:rsidRPr="00B208C0" w:rsidRDefault="00113A98" w:rsidP="00B208C0">
            <w:pPr>
              <w:jc w:val="right"/>
              <w:rPr>
                <w:rFonts w:ascii="Arial" w:hAnsi="Arial" w:cs="Arial"/>
                <w:b/>
                <w:sz w:val="17"/>
                <w:szCs w:val="17"/>
              </w:rPr>
            </w:pPr>
            <w:r w:rsidRPr="00B208C0">
              <w:rPr>
                <w:rFonts w:ascii="Arial" w:hAnsi="Arial" w:cs="Arial"/>
                <w:b/>
                <w:sz w:val="17"/>
                <w:szCs w:val="17"/>
              </w:rPr>
              <w:t xml:space="preserve"> 269,741,592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13A98" w:rsidRPr="00B208C0" w:rsidRDefault="00113A98" w:rsidP="00B208C0">
            <w:pPr>
              <w:jc w:val="right"/>
              <w:rPr>
                <w:rFonts w:ascii="Arial" w:hAnsi="Arial" w:cs="Arial"/>
                <w:b/>
                <w:sz w:val="17"/>
                <w:szCs w:val="17"/>
              </w:rPr>
            </w:pPr>
            <w:r w:rsidRPr="00B208C0">
              <w:rPr>
                <w:rFonts w:ascii="Arial" w:hAnsi="Arial" w:cs="Arial"/>
                <w:b/>
                <w:sz w:val="17"/>
                <w:szCs w:val="17"/>
              </w:rPr>
              <w:t xml:space="preserve"> 213,311,767 </w:t>
            </w:r>
          </w:p>
        </w:tc>
      </w:tr>
    </w:tbl>
    <w:p w:rsidR="000B6CE6" w:rsidRDefault="000B6CE6">
      <w:pPr>
        <w:rPr>
          <w:rFonts w:ascii="Arial" w:eastAsia="Calibri" w:hAnsi="Arial" w:cs="Arial"/>
          <w:spacing w:val="-1"/>
          <w:sz w:val="17"/>
          <w:szCs w:val="17"/>
        </w:rPr>
      </w:pPr>
    </w:p>
    <w:p w:rsidR="0030750A" w:rsidRDefault="0030750A" w:rsidP="0030750A">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w:t>
      </w:r>
      <w:r>
        <w:rPr>
          <w:rFonts w:ascii="Arial" w:eastAsia="Calibri" w:hAnsi="Arial" w:cs="Arial"/>
          <w:spacing w:val="-1"/>
          <w:sz w:val="17"/>
          <w:szCs w:val="17"/>
        </w:rPr>
        <w:t>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Pr>
          <w:rFonts w:ascii="Arial" w:eastAsia="Calibri" w:hAnsi="Arial" w:cs="Arial"/>
          <w:spacing w:val="-1"/>
          <w:sz w:val="17"/>
          <w:szCs w:val="17"/>
        </w:rPr>
        <w:t xml:space="preserve">disminución de la cuenta de </w:t>
      </w:r>
      <w:r w:rsidRPr="0030750A">
        <w:rPr>
          <w:rFonts w:ascii="Arial" w:eastAsia="Calibri" w:hAnsi="Arial" w:cs="Arial"/>
          <w:spacing w:val="-1"/>
          <w:sz w:val="17"/>
          <w:szCs w:val="17"/>
        </w:rPr>
        <w:t xml:space="preserve">Retenciones y Contribuciones por Pagar a Corto Plazo </w:t>
      </w:r>
      <w:r w:rsidRPr="00D33839">
        <w:rPr>
          <w:rFonts w:ascii="Arial" w:eastAsia="Calibri" w:hAnsi="Arial" w:cs="Arial"/>
          <w:spacing w:val="-1"/>
          <w:sz w:val="17"/>
          <w:szCs w:val="17"/>
        </w:rPr>
        <w:t>por parte de</w:t>
      </w:r>
      <w:r w:rsidR="00795BA6">
        <w:rPr>
          <w:rFonts w:ascii="Arial" w:eastAsia="Calibri" w:hAnsi="Arial" w:cs="Arial"/>
          <w:spacing w:val="-1"/>
          <w:sz w:val="17"/>
          <w:szCs w:val="17"/>
        </w:rPr>
        <w:t xml:space="preserve"> </w:t>
      </w:r>
      <w:r>
        <w:rPr>
          <w:rFonts w:ascii="Arial" w:eastAsia="Calibri" w:hAnsi="Arial" w:cs="Arial"/>
          <w:spacing w:val="-1"/>
          <w:sz w:val="17"/>
          <w:szCs w:val="17"/>
        </w:rPr>
        <w:t>l</w:t>
      </w:r>
      <w:r w:rsidR="00795BA6">
        <w:rPr>
          <w:rFonts w:ascii="Arial" w:eastAsia="Calibri" w:hAnsi="Arial" w:cs="Arial"/>
          <w:spacing w:val="-1"/>
          <w:sz w:val="17"/>
          <w:szCs w:val="17"/>
        </w:rPr>
        <w:t>a</w:t>
      </w:r>
      <w:r>
        <w:rPr>
          <w:rFonts w:ascii="Arial" w:eastAsia="Calibri" w:hAnsi="Arial" w:cs="Arial"/>
          <w:spacing w:val="-1"/>
          <w:sz w:val="17"/>
          <w:szCs w:val="17"/>
        </w:rPr>
        <w:t xml:space="preserve"> </w:t>
      </w:r>
      <w:r w:rsidR="00795BA6" w:rsidRPr="00795BA6">
        <w:rPr>
          <w:rFonts w:ascii="Arial" w:eastAsia="Calibri" w:hAnsi="Arial" w:cs="Arial"/>
          <w:spacing w:val="-1"/>
          <w:sz w:val="17"/>
          <w:szCs w:val="17"/>
        </w:rPr>
        <w:t>Fiscalía General del Estado</w:t>
      </w:r>
      <w:r>
        <w:rPr>
          <w:rFonts w:ascii="Arial" w:eastAsia="Calibri" w:hAnsi="Arial" w:cs="Arial"/>
          <w:spacing w:val="-1"/>
          <w:sz w:val="17"/>
          <w:szCs w:val="17"/>
        </w:rPr>
        <w:t>.</w:t>
      </w:r>
    </w:p>
    <w:p w:rsidR="0030750A" w:rsidRDefault="0030750A">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4BC8" w:rsidRPr="002D70DA" w:rsidTr="00B208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B208C0" w:rsidRPr="002D70DA" w:rsidTr="00B208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08C0" w:rsidRPr="00C34218" w:rsidRDefault="00B208C0" w:rsidP="00B208C0">
            <w:pPr>
              <w:ind w:left="497"/>
              <w:rPr>
                <w:rFonts w:ascii="Arial" w:hAnsi="Arial" w:cs="Arial"/>
                <w:sz w:val="17"/>
                <w:szCs w:val="17"/>
              </w:rPr>
            </w:pPr>
            <w:r w:rsidRPr="00C34218">
              <w:rPr>
                <w:rFonts w:ascii="Arial" w:hAnsi="Arial" w:cs="Arial"/>
                <w:sz w:val="17"/>
                <w:szCs w:val="17"/>
              </w:rPr>
              <w:t>Comisión de Transparencia y Acceso a la</w:t>
            </w:r>
          </w:p>
          <w:p w:rsidR="00B208C0" w:rsidRPr="00560A6D" w:rsidRDefault="00B208C0" w:rsidP="00B208C0">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208C0" w:rsidRPr="00B208C0" w:rsidRDefault="00B208C0" w:rsidP="00B208C0">
            <w:pPr>
              <w:jc w:val="right"/>
              <w:rPr>
                <w:rFonts w:ascii="Arial" w:hAnsi="Arial" w:cs="Arial"/>
                <w:sz w:val="17"/>
                <w:szCs w:val="17"/>
              </w:rPr>
            </w:pPr>
            <w:r w:rsidRPr="00B208C0">
              <w:rPr>
                <w:rFonts w:ascii="Arial" w:hAnsi="Arial" w:cs="Arial"/>
                <w:sz w:val="17"/>
                <w:szCs w:val="17"/>
              </w:rPr>
              <w:t xml:space="preserve">218,634,402 </w:t>
            </w:r>
          </w:p>
        </w:tc>
        <w:tc>
          <w:tcPr>
            <w:tcW w:w="2180" w:type="dxa"/>
            <w:tcBorders>
              <w:top w:val="single" w:sz="4" w:space="0" w:color="auto"/>
              <w:left w:val="nil"/>
              <w:bottom w:val="single" w:sz="4" w:space="0" w:color="auto"/>
              <w:right w:val="single" w:sz="4" w:space="0" w:color="auto"/>
            </w:tcBorders>
            <w:shd w:val="clear" w:color="auto" w:fill="auto"/>
          </w:tcPr>
          <w:p w:rsidR="00B208C0" w:rsidRPr="00B208C0" w:rsidRDefault="00B208C0" w:rsidP="00B208C0">
            <w:pPr>
              <w:jc w:val="right"/>
              <w:rPr>
                <w:rFonts w:ascii="Arial" w:hAnsi="Arial" w:cs="Arial"/>
                <w:sz w:val="17"/>
                <w:szCs w:val="17"/>
              </w:rPr>
            </w:pPr>
            <w:r w:rsidRPr="00B208C0">
              <w:rPr>
                <w:rFonts w:ascii="Arial" w:hAnsi="Arial" w:cs="Arial"/>
                <w:sz w:val="17"/>
                <w:szCs w:val="17"/>
              </w:rPr>
              <w:t xml:space="preserve">177,988,505 </w:t>
            </w:r>
          </w:p>
        </w:tc>
      </w:tr>
      <w:tr w:rsidR="00B208C0" w:rsidRPr="002D70DA" w:rsidTr="00B208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08C0" w:rsidRPr="00560A6D" w:rsidRDefault="00B208C0" w:rsidP="00B208C0">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B208C0" w:rsidRPr="00B208C0" w:rsidRDefault="00B208C0" w:rsidP="00B208C0">
            <w:pPr>
              <w:jc w:val="right"/>
              <w:rPr>
                <w:rFonts w:ascii="Arial" w:hAnsi="Arial" w:cs="Arial"/>
                <w:sz w:val="17"/>
                <w:szCs w:val="17"/>
              </w:rPr>
            </w:pPr>
            <w:r w:rsidRPr="00B208C0">
              <w:rPr>
                <w:rFonts w:ascii="Arial" w:hAnsi="Arial" w:cs="Arial"/>
                <w:sz w:val="17"/>
                <w:szCs w:val="17"/>
              </w:rPr>
              <w:t xml:space="preserve">51,107,190 </w:t>
            </w:r>
          </w:p>
        </w:tc>
        <w:tc>
          <w:tcPr>
            <w:tcW w:w="2180" w:type="dxa"/>
            <w:tcBorders>
              <w:top w:val="single" w:sz="4" w:space="0" w:color="auto"/>
              <w:left w:val="nil"/>
              <w:bottom w:val="single" w:sz="4" w:space="0" w:color="auto"/>
              <w:right w:val="single" w:sz="4" w:space="0" w:color="auto"/>
            </w:tcBorders>
            <w:shd w:val="clear" w:color="auto" w:fill="auto"/>
          </w:tcPr>
          <w:p w:rsidR="00B208C0" w:rsidRPr="00B208C0" w:rsidRDefault="00B208C0" w:rsidP="00B208C0">
            <w:pPr>
              <w:jc w:val="right"/>
              <w:rPr>
                <w:rFonts w:ascii="Arial" w:hAnsi="Arial" w:cs="Arial"/>
                <w:sz w:val="17"/>
                <w:szCs w:val="17"/>
              </w:rPr>
            </w:pPr>
            <w:r w:rsidRPr="00B208C0">
              <w:rPr>
                <w:rFonts w:ascii="Arial" w:hAnsi="Arial" w:cs="Arial"/>
                <w:sz w:val="17"/>
                <w:szCs w:val="17"/>
              </w:rPr>
              <w:t xml:space="preserve">35,323,262 </w:t>
            </w:r>
          </w:p>
        </w:tc>
      </w:tr>
      <w:tr w:rsidR="00B208C0" w:rsidRPr="002D70DA" w:rsidTr="00B208C0">
        <w:trPr>
          <w:trHeight w:val="240"/>
          <w:jc w:val="center"/>
        </w:trPr>
        <w:tc>
          <w:tcPr>
            <w:tcW w:w="4900" w:type="dxa"/>
            <w:tcBorders>
              <w:top w:val="nil"/>
              <w:left w:val="nil"/>
              <w:bottom w:val="nil"/>
              <w:right w:val="single" w:sz="4" w:space="0" w:color="auto"/>
            </w:tcBorders>
            <w:shd w:val="clear" w:color="000000" w:fill="FFFFFF"/>
            <w:vAlign w:val="center"/>
            <w:hideMark/>
          </w:tcPr>
          <w:p w:rsidR="00B208C0" w:rsidRPr="002D70DA" w:rsidRDefault="00B208C0" w:rsidP="00B208C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208C0" w:rsidRPr="00B208C0" w:rsidRDefault="00B208C0" w:rsidP="00B208C0">
            <w:pPr>
              <w:jc w:val="right"/>
              <w:rPr>
                <w:rFonts w:ascii="Arial" w:hAnsi="Arial" w:cs="Arial"/>
                <w:b/>
                <w:sz w:val="17"/>
                <w:szCs w:val="17"/>
              </w:rPr>
            </w:pPr>
            <w:r w:rsidRPr="00B208C0">
              <w:rPr>
                <w:rFonts w:ascii="Arial" w:hAnsi="Arial" w:cs="Arial"/>
                <w:b/>
                <w:sz w:val="17"/>
                <w:szCs w:val="17"/>
              </w:rPr>
              <w:t xml:space="preserve">269,741,592 </w:t>
            </w:r>
          </w:p>
        </w:tc>
        <w:tc>
          <w:tcPr>
            <w:tcW w:w="2180" w:type="dxa"/>
            <w:tcBorders>
              <w:top w:val="nil"/>
              <w:left w:val="single" w:sz="4" w:space="0" w:color="auto"/>
              <w:bottom w:val="single" w:sz="4" w:space="0" w:color="auto"/>
              <w:right w:val="single" w:sz="4" w:space="0" w:color="auto"/>
            </w:tcBorders>
            <w:shd w:val="clear" w:color="000000" w:fill="FFFFFF"/>
          </w:tcPr>
          <w:p w:rsidR="00B208C0" w:rsidRPr="00B208C0" w:rsidRDefault="00B208C0" w:rsidP="00B208C0">
            <w:pPr>
              <w:jc w:val="right"/>
              <w:rPr>
                <w:rFonts w:ascii="Arial" w:hAnsi="Arial" w:cs="Arial"/>
                <w:b/>
                <w:sz w:val="17"/>
                <w:szCs w:val="17"/>
              </w:rPr>
            </w:pPr>
            <w:r w:rsidRPr="00B208C0">
              <w:rPr>
                <w:rFonts w:ascii="Arial" w:hAnsi="Arial" w:cs="Arial"/>
                <w:b/>
                <w:sz w:val="17"/>
                <w:szCs w:val="17"/>
              </w:rPr>
              <w:t xml:space="preserve">213,311,767 </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0B503E" w:rsidRDefault="000B503E">
      <w:pPr>
        <w:rPr>
          <w:rFonts w:ascii="Arial" w:eastAsia="Calibri" w:hAnsi="Arial" w:cs="Arial"/>
          <w:spacing w:val="-1"/>
          <w:sz w:val="17"/>
          <w:szCs w:val="17"/>
        </w:rPr>
      </w:pPr>
      <w:r>
        <w:rPr>
          <w:rFonts w:ascii="Arial" w:eastAsia="Calibri" w:hAnsi="Arial" w:cs="Arial"/>
          <w:spacing w:val="-1"/>
          <w:sz w:val="17"/>
          <w:szCs w:val="17"/>
        </w:rPr>
        <w:br w:type="page"/>
      </w: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000727B1" w:rsidRPr="000727B1">
        <w:rPr>
          <w:rFonts w:ascii="Arial" w:eastAsia="Calibri" w:hAnsi="Arial" w:cs="Arial"/>
          <w:spacing w:val="-1"/>
          <w:sz w:val="17"/>
          <w:szCs w:val="17"/>
        </w:rPr>
        <w:t>Pasivos Diferidos a Corto Plazo</w:t>
      </w:r>
      <w:r>
        <w:rPr>
          <w:rFonts w:ascii="Arial" w:eastAsia="Calibri" w:hAnsi="Arial" w:cs="Arial"/>
          <w:spacing w:val="-1"/>
          <w:sz w:val="17"/>
          <w:szCs w:val="17"/>
        </w:rPr>
        <w:t>:</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0727B1">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0727B1" w:rsidRPr="002D70DA" w:rsidTr="000727B1">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727B1" w:rsidRPr="000B503E" w:rsidRDefault="000727B1" w:rsidP="000727B1">
            <w:pPr>
              <w:rPr>
                <w:rFonts w:ascii="Arial" w:hAnsi="Arial" w:cs="Arial"/>
                <w:sz w:val="17"/>
                <w:szCs w:val="17"/>
              </w:rPr>
            </w:pPr>
            <w:r w:rsidRPr="000727B1">
              <w:rPr>
                <w:rFonts w:ascii="Arial" w:hAnsi="Arial" w:cs="Arial"/>
                <w:sz w:val="17"/>
                <w:szCs w:val="17"/>
              </w:rPr>
              <w:t>Ingresos Cobrados por Adelantado a Corto Plazo</w:t>
            </w:r>
          </w:p>
        </w:tc>
        <w:tc>
          <w:tcPr>
            <w:tcW w:w="2092" w:type="dxa"/>
            <w:tcBorders>
              <w:top w:val="single" w:sz="4" w:space="0" w:color="auto"/>
              <w:left w:val="nil"/>
              <w:bottom w:val="single" w:sz="4" w:space="0" w:color="auto"/>
              <w:right w:val="single" w:sz="4" w:space="0" w:color="auto"/>
            </w:tcBorders>
            <w:shd w:val="clear" w:color="auto" w:fill="auto"/>
          </w:tcPr>
          <w:p w:rsidR="000727B1" w:rsidRPr="000727B1" w:rsidRDefault="000727B1" w:rsidP="000727B1">
            <w:pPr>
              <w:jc w:val="right"/>
              <w:rPr>
                <w:rFonts w:ascii="Arial" w:hAnsi="Arial" w:cs="Arial"/>
                <w:sz w:val="17"/>
                <w:szCs w:val="17"/>
              </w:rPr>
            </w:pPr>
            <w:r w:rsidRPr="000727B1">
              <w:rPr>
                <w:rFonts w:ascii="Arial" w:hAnsi="Arial" w:cs="Arial"/>
                <w:sz w:val="17"/>
                <w:szCs w:val="17"/>
              </w:rPr>
              <w:t xml:space="preserve"> 21,251,540 </w:t>
            </w:r>
          </w:p>
        </w:tc>
        <w:tc>
          <w:tcPr>
            <w:tcW w:w="2149" w:type="dxa"/>
            <w:tcBorders>
              <w:top w:val="nil"/>
              <w:left w:val="single" w:sz="4" w:space="0" w:color="auto"/>
              <w:bottom w:val="single" w:sz="4" w:space="0" w:color="auto"/>
              <w:right w:val="single" w:sz="4" w:space="0" w:color="auto"/>
            </w:tcBorders>
            <w:shd w:val="clear" w:color="auto" w:fill="auto"/>
          </w:tcPr>
          <w:p w:rsidR="000727B1" w:rsidRPr="000727B1" w:rsidRDefault="000727B1" w:rsidP="000727B1">
            <w:pPr>
              <w:jc w:val="right"/>
              <w:rPr>
                <w:rFonts w:ascii="Arial" w:hAnsi="Arial" w:cs="Arial"/>
                <w:sz w:val="17"/>
                <w:szCs w:val="17"/>
              </w:rPr>
            </w:pPr>
            <w:r w:rsidRPr="000727B1">
              <w:rPr>
                <w:rFonts w:ascii="Arial" w:hAnsi="Arial" w:cs="Arial"/>
                <w:sz w:val="17"/>
                <w:szCs w:val="17"/>
              </w:rPr>
              <w:t xml:space="preserve"> 16,913,546 </w:t>
            </w:r>
          </w:p>
        </w:tc>
      </w:tr>
      <w:tr w:rsidR="000727B1" w:rsidRPr="002D70DA" w:rsidTr="000727B1">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727B1" w:rsidRPr="000B503E" w:rsidRDefault="000727B1" w:rsidP="000727B1">
            <w:pPr>
              <w:rPr>
                <w:rFonts w:ascii="Arial" w:hAnsi="Arial" w:cs="Arial"/>
                <w:sz w:val="17"/>
                <w:szCs w:val="17"/>
              </w:rPr>
            </w:pPr>
            <w:r w:rsidRPr="000727B1">
              <w:rPr>
                <w:rFonts w:ascii="Arial" w:hAnsi="Arial" w:cs="Arial"/>
                <w:sz w:val="17"/>
                <w:szCs w:val="17"/>
              </w:rPr>
              <w:t>Otros Pasivos Diferidos a Corto Plazo</w:t>
            </w:r>
          </w:p>
        </w:tc>
        <w:tc>
          <w:tcPr>
            <w:tcW w:w="2092" w:type="dxa"/>
            <w:tcBorders>
              <w:top w:val="single" w:sz="4" w:space="0" w:color="auto"/>
              <w:left w:val="nil"/>
              <w:bottom w:val="single" w:sz="4" w:space="0" w:color="auto"/>
              <w:right w:val="single" w:sz="4" w:space="0" w:color="auto"/>
            </w:tcBorders>
            <w:shd w:val="clear" w:color="auto" w:fill="auto"/>
          </w:tcPr>
          <w:p w:rsidR="000727B1" w:rsidRPr="000727B1" w:rsidRDefault="000727B1" w:rsidP="000727B1">
            <w:pPr>
              <w:jc w:val="right"/>
              <w:rPr>
                <w:rFonts w:ascii="Arial" w:hAnsi="Arial" w:cs="Arial"/>
                <w:sz w:val="17"/>
                <w:szCs w:val="17"/>
              </w:rPr>
            </w:pPr>
            <w:r w:rsidRPr="000727B1">
              <w:rPr>
                <w:rFonts w:ascii="Arial" w:hAnsi="Arial" w:cs="Arial"/>
                <w:sz w:val="17"/>
                <w:szCs w:val="17"/>
              </w:rPr>
              <w:t xml:space="preserve"> 7,009 </w:t>
            </w:r>
          </w:p>
        </w:tc>
        <w:tc>
          <w:tcPr>
            <w:tcW w:w="2149" w:type="dxa"/>
            <w:tcBorders>
              <w:top w:val="nil"/>
              <w:left w:val="single" w:sz="4" w:space="0" w:color="auto"/>
              <w:bottom w:val="single" w:sz="4" w:space="0" w:color="auto"/>
              <w:right w:val="single" w:sz="4" w:space="0" w:color="auto"/>
            </w:tcBorders>
            <w:shd w:val="clear" w:color="auto" w:fill="auto"/>
          </w:tcPr>
          <w:p w:rsidR="000727B1" w:rsidRPr="000727B1" w:rsidRDefault="000727B1" w:rsidP="000727B1">
            <w:pPr>
              <w:jc w:val="right"/>
              <w:rPr>
                <w:rFonts w:ascii="Arial" w:hAnsi="Arial" w:cs="Arial"/>
                <w:sz w:val="17"/>
                <w:szCs w:val="17"/>
              </w:rPr>
            </w:pPr>
            <w:r w:rsidRPr="000727B1">
              <w:rPr>
                <w:rFonts w:ascii="Arial" w:hAnsi="Arial" w:cs="Arial"/>
                <w:sz w:val="17"/>
                <w:szCs w:val="17"/>
              </w:rPr>
              <w:t xml:space="preserve"> 2,835,101 </w:t>
            </w:r>
          </w:p>
        </w:tc>
      </w:tr>
      <w:tr w:rsidR="000727B1" w:rsidRPr="002D70DA" w:rsidTr="000727B1">
        <w:trPr>
          <w:trHeight w:val="240"/>
          <w:jc w:val="center"/>
        </w:trPr>
        <w:tc>
          <w:tcPr>
            <w:tcW w:w="4746" w:type="dxa"/>
            <w:tcBorders>
              <w:top w:val="single" w:sz="4" w:space="0" w:color="auto"/>
              <w:right w:val="single" w:sz="4" w:space="0" w:color="auto"/>
            </w:tcBorders>
            <w:shd w:val="clear" w:color="auto" w:fill="auto"/>
            <w:vAlign w:val="center"/>
          </w:tcPr>
          <w:p w:rsidR="000727B1" w:rsidRPr="00F93CE5" w:rsidRDefault="000727B1" w:rsidP="000727B1">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727B1" w:rsidRPr="000727B1" w:rsidRDefault="000727B1" w:rsidP="000727B1">
            <w:pPr>
              <w:jc w:val="right"/>
              <w:rPr>
                <w:rFonts w:ascii="Arial" w:hAnsi="Arial" w:cs="Arial"/>
                <w:b/>
                <w:sz w:val="17"/>
                <w:szCs w:val="17"/>
              </w:rPr>
            </w:pPr>
            <w:r w:rsidRPr="000727B1">
              <w:rPr>
                <w:rFonts w:ascii="Arial" w:hAnsi="Arial" w:cs="Arial"/>
                <w:b/>
                <w:sz w:val="17"/>
                <w:szCs w:val="17"/>
              </w:rPr>
              <w:t xml:space="preserve"> 21,258,549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727B1" w:rsidRPr="000727B1" w:rsidRDefault="000727B1" w:rsidP="000727B1">
            <w:pPr>
              <w:jc w:val="right"/>
              <w:rPr>
                <w:rFonts w:ascii="Arial" w:hAnsi="Arial" w:cs="Arial"/>
                <w:b/>
                <w:sz w:val="17"/>
                <w:szCs w:val="17"/>
              </w:rPr>
            </w:pPr>
            <w:r w:rsidRPr="000727B1">
              <w:rPr>
                <w:rFonts w:ascii="Arial" w:hAnsi="Arial" w:cs="Arial"/>
                <w:b/>
                <w:sz w:val="17"/>
                <w:szCs w:val="17"/>
              </w:rPr>
              <w:t xml:space="preserve"> 19,748,647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821630" w:rsidRDefault="00821630" w:rsidP="0082163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8166A2">
        <w:rPr>
          <w:rFonts w:ascii="Arial" w:eastAsia="Calibri" w:hAnsi="Arial" w:cs="Arial"/>
          <w:spacing w:val="-1"/>
          <w:sz w:val="17"/>
          <w:szCs w:val="17"/>
        </w:rPr>
        <w:t>in</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008166A2">
        <w:rPr>
          <w:rFonts w:ascii="Arial" w:eastAsia="Calibri" w:hAnsi="Arial" w:cs="Arial"/>
          <w:spacing w:val="-1"/>
          <w:sz w:val="17"/>
          <w:szCs w:val="17"/>
        </w:rPr>
        <w:t>a</w:t>
      </w:r>
      <w:r w:rsidRPr="00D33839">
        <w:rPr>
          <w:rFonts w:ascii="Arial" w:eastAsia="Calibri" w:hAnsi="Arial" w:cs="Arial"/>
          <w:spacing w:val="-1"/>
          <w:sz w:val="17"/>
          <w:szCs w:val="17"/>
        </w:rPr>
        <w:t>l</w:t>
      </w:r>
      <w:r w:rsidR="008166A2">
        <w:rPr>
          <w:rFonts w:ascii="Arial" w:eastAsia="Calibri" w:hAnsi="Arial" w:cs="Arial"/>
          <w:spacing w:val="-1"/>
          <w:sz w:val="17"/>
          <w:szCs w:val="17"/>
        </w:rPr>
        <w:t xml:space="preserve"> </w:t>
      </w:r>
      <w:r w:rsidRPr="00D33839">
        <w:rPr>
          <w:rFonts w:ascii="Arial" w:eastAsia="Calibri" w:hAnsi="Arial" w:cs="Arial"/>
          <w:spacing w:val="-1"/>
          <w:sz w:val="17"/>
          <w:szCs w:val="17"/>
        </w:rPr>
        <w:t>a</w:t>
      </w:r>
      <w:r w:rsidR="008166A2">
        <w:rPr>
          <w:rFonts w:ascii="Arial" w:eastAsia="Calibri" w:hAnsi="Arial" w:cs="Arial"/>
          <w:spacing w:val="-1"/>
          <w:sz w:val="17"/>
          <w:szCs w:val="17"/>
        </w:rPr>
        <w:t>umento</w:t>
      </w:r>
      <w:r>
        <w:rPr>
          <w:rFonts w:ascii="Arial" w:eastAsia="Calibri" w:hAnsi="Arial" w:cs="Arial"/>
          <w:spacing w:val="-1"/>
          <w:sz w:val="17"/>
          <w:szCs w:val="17"/>
        </w:rPr>
        <w:t xml:space="preserve"> de la cuenta </w:t>
      </w:r>
      <w:r w:rsidR="008166A2" w:rsidRPr="008166A2">
        <w:rPr>
          <w:rFonts w:ascii="Arial" w:eastAsia="Calibri" w:hAnsi="Arial" w:cs="Arial"/>
          <w:spacing w:val="-1"/>
          <w:sz w:val="17"/>
          <w:szCs w:val="17"/>
        </w:rPr>
        <w:t>Ingresos Cobrados por Adelantado a Corto Plazo</w:t>
      </w:r>
      <w:r w:rsidR="00012BDB" w:rsidRPr="00012BDB">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sidR="008166A2">
        <w:rPr>
          <w:rFonts w:ascii="Arial" w:eastAsia="Calibri" w:hAnsi="Arial" w:cs="Arial"/>
          <w:spacing w:val="-1"/>
          <w:sz w:val="17"/>
          <w:szCs w:val="17"/>
        </w:rPr>
        <w:t xml:space="preserve"> </w:t>
      </w:r>
      <w:r>
        <w:rPr>
          <w:rFonts w:ascii="Arial" w:eastAsia="Calibri" w:hAnsi="Arial" w:cs="Arial"/>
          <w:spacing w:val="-1"/>
          <w:sz w:val="17"/>
          <w:szCs w:val="17"/>
        </w:rPr>
        <w:t>l</w:t>
      </w:r>
      <w:r w:rsidR="008166A2">
        <w:rPr>
          <w:rFonts w:ascii="Arial" w:eastAsia="Calibri" w:hAnsi="Arial" w:cs="Arial"/>
          <w:spacing w:val="-1"/>
          <w:sz w:val="17"/>
          <w:szCs w:val="17"/>
        </w:rPr>
        <w:t>a</w:t>
      </w:r>
      <w:r>
        <w:rPr>
          <w:rFonts w:ascii="Arial" w:eastAsia="Calibri" w:hAnsi="Arial" w:cs="Arial"/>
          <w:spacing w:val="-1"/>
          <w:sz w:val="17"/>
          <w:szCs w:val="17"/>
        </w:rPr>
        <w:t xml:space="preserve"> </w:t>
      </w:r>
      <w:r w:rsidR="008166A2" w:rsidRPr="008166A2">
        <w:rPr>
          <w:rFonts w:ascii="Arial" w:eastAsia="Calibri" w:hAnsi="Arial" w:cs="Arial"/>
          <w:spacing w:val="-1"/>
          <w:sz w:val="17"/>
          <w:szCs w:val="17"/>
        </w:rPr>
        <w:t>Comisión Estatal de Aguas</w:t>
      </w:r>
      <w:r>
        <w:rPr>
          <w:rFonts w:ascii="Arial" w:eastAsia="Calibri" w:hAnsi="Arial" w:cs="Arial"/>
          <w:spacing w:val="-1"/>
          <w:sz w:val="17"/>
          <w:szCs w:val="17"/>
        </w:rPr>
        <w:t>.</w:t>
      </w: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79F6" w:rsidRPr="002D70DA" w:rsidTr="00BB0E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BB0E04" w:rsidRPr="002D70DA" w:rsidTr="00BB0E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B0E04" w:rsidRPr="00BB0E04" w:rsidRDefault="00BB0E04" w:rsidP="00BB0E04">
            <w:pPr>
              <w:rPr>
                <w:rFonts w:ascii="Arial" w:hAnsi="Arial" w:cs="Arial"/>
                <w:sz w:val="17"/>
                <w:szCs w:val="17"/>
              </w:rPr>
            </w:pPr>
            <w:r w:rsidRPr="00BB0E04">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BB0E04" w:rsidRPr="00BB0E04" w:rsidRDefault="00BB0E04" w:rsidP="00BB0E04">
            <w:pPr>
              <w:jc w:val="right"/>
              <w:rPr>
                <w:rFonts w:ascii="Arial" w:hAnsi="Arial" w:cs="Arial"/>
                <w:sz w:val="17"/>
                <w:szCs w:val="17"/>
              </w:rPr>
            </w:pPr>
            <w:r w:rsidRPr="00BB0E04">
              <w:rPr>
                <w:rFonts w:ascii="Arial" w:hAnsi="Arial" w:cs="Arial"/>
                <w:sz w:val="17"/>
                <w:szCs w:val="17"/>
              </w:rPr>
              <w:t xml:space="preserve">20,392,956 </w:t>
            </w:r>
          </w:p>
        </w:tc>
        <w:tc>
          <w:tcPr>
            <w:tcW w:w="2180" w:type="dxa"/>
            <w:tcBorders>
              <w:top w:val="single" w:sz="4" w:space="0" w:color="auto"/>
              <w:left w:val="nil"/>
              <w:bottom w:val="single" w:sz="4" w:space="0" w:color="auto"/>
              <w:right w:val="single" w:sz="4" w:space="0" w:color="auto"/>
            </w:tcBorders>
            <w:shd w:val="clear" w:color="auto" w:fill="auto"/>
          </w:tcPr>
          <w:p w:rsidR="00BB0E04" w:rsidRPr="00BB0E04" w:rsidRDefault="00BB0E04" w:rsidP="00BB0E04">
            <w:pPr>
              <w:jc w:val="right"/>
              <w:rPr>
                <w:rFonts w:ascii="Arial" w:hAnsi="Arial" w:cs="Arial"/>
                <w:sz w:val="17"/>
                <w:szCs w:val="17"/>
              </w:rPr>
            </w:pPr>
            <w:r w:rsidRPr="00BB0E04">
              <w:rPr>
                <w:rFonts w:ascii="Arial" w:hAnsi="Arial" w:cs="Arial"/>
                <w:sz w:val="17"/>
                <w:szCs w:val="17"/>
              </w:rPr>
              <w:t xml:space="preserve">13,094,660 </w:t>
            </w:r>
          </w:p>
        </w:tc>
      </w:tr>
      <w:tr w:rsidR="00BB0E04" w:rsidRPr="002D70DA" w:rsidTr="00BB0E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B0E04" w:rsidRPr="00BB0E04" w:rsidRDefault="00BB0E04" w:rsidP="00BB0E04">
            <w:pPr>
              <w:rPr>
                <w:rFonts w:ascii="Arial" w:hAnsi="Arial" w:cs="Arial"/>
                <w:sz w:val="17"/>
                <w:szCs w:val="17"/>
              </w:rPr>
            </w:pPr>
            <w:r w:rsidRPr="00BB0E04">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BB0E04" w:rsidRPr="00BB0E04" w:rsidRDefault="00BB0E04" w:rsidP="00BB0E04">
            <w:pPr>
              <w:jc w:val="right"/>
              <w:rPr>
                <w:rFonts w:ascii="Arial" w:hAnsi="Arial" w:cs="Arial"/>
                <w:sz w:val="17"/>
                <w:szCs w:val="17"/>
              </w:rPr>
            </w:pPr>
            <w:r w:rsidRPr="00BB0E04">
              <w:rPr>
                <w:rFonts w:ascii="Arial" w:hAnsi="Arial" w:cs="Arial"/>
                <w:sz w:val="17"/>
                <w:szCs w:val="17"/>
              </w:rPr>
              <w:t xml:space="preserve">865,593 </w:t>
            </w:r>
          </w:p>
        </w:tc>
        <w:tc>
          <w:tcPr>
            <w:tcW w:w="2180" w:type="dxa"/>
            <w:tcBorders>
              <w:top w:val="single" w:sz="4" w:space="0" w:color="auto"/>
              <w:left w:val="nil"/>
              <w:bottom w:val="single" w:sz="4" w:space="0" w:color="auto"/>
              <w:right w:val="single" w:sz="4" w:space="0" w:color="auto"/>
            </w:tcBorders>
            <w:shd w:val="clear" w:color="auto" w:fill="auto"/>
          </w:tcPr>
          <w:p w:rsidR="00BB0E04" w:rsidRPr="00BB0E04" w:rsidRDefault="00BB0E04" w:rsidP="00BB0E04">
            <w:pPr>
              <w:jc w:val="right"/>
              <w:rPr>
                <w:rFonts w:ascii="Arial" w:hAnsi="Arial" w:cs="Arial"/>
                <w:sz w:val="17"/>
                <w:szCs w:val="17"/>
              </w:rPr>
            </w:pPr>
            <w:r w:rsidRPr="00BB0E04">
              <w:rPr>
                <w:rFonts w:ascii="Arial" w:hAnsi="Arial" w:cs="Arial"/>
                <w:sz w:val="17"/>
                <w:szCs w:val="17"/>
              </w:rPr>
              <w:t xml:space="preserve">6,653,987 </w:t>
            </w:r>
          </w:p>
        </w:tc>
      </w:tr>
      <w:tr w:rsidR="00BB0E04" w:rsidRPr="002D70DA" w:rsidTr="00BB0E04">
        <w:trPr>
          <w:trHeight w:val="240"/>
          <w:jc w:val="center"/>
        </w:trPr>
        <w:tc>
          <w:tcPr>
            <w:tcW w:w="4900" w:type="dxa"/>
            <w:tcBorders>
              <w:top w:val="nil"/>
              <w:left w:val="nil"/>
              <w:bottom w:val="nil"/>
              <w:right w:val="single" w:sz="4" w:space="0" w:color="auto"/>
            </w:tcBorders>
            <w:shd w:val="clear" w:color="000000" w:fill="FFFFFF"/>
            <w:vAlign w:val="center"/>
            <w:hideMark/>
          </w:tcPr>
          <w:p w:rsidR="00BB0E04" w:rsidRPr="002D70DA" w:rsidRDefault="00BB0E04" w:rsidP="00BB0E0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B0E04" w:rsidRPr="00BB0E04" w:rsidRDefault="00BB0E04" w:rsidP="00BB0E04">
            <w:pPr>
              <w:jc w:val="right"/>
              <w:rPr>
                <w:rFonts w:ascii="Arial" w:hAnsi="Arial" w:cs="Arial"/>
                <w:b/>
                <w:sz w:val="17"/>
                <w:szCs w:val="17"/>
              </w:rPr>
            </w:pPr>
            <w:r w:rsidRPr="00BB0E04">
              <w:rPr>
                <w:rFonts w:ascii="Arial" w:hAnsi="Arial" w:cs="Arial"/>
                <w:b/>
                <w:sz w:val="17"/>
                <w:szCs w:val="17"/>
              </w:rPr>
              <w:t xml:space="preserve">21,258,549 </w:t>
            </w:r>
          </w:p>
        </w:tc>
        <w:tc>
          <w:tcPr>
            <w:tcW w:w="2180" w:type="dxa"/>
            <w:tcBorders>
              <w:top w:val="nil"/>
              <w:left w:val="single" w:sz="4" w:space="0" w:color="auto"/>
              <w:bottom w:val="single" w:sz="4" w:space="0" w:color="auto"/>
              <w:right w:val="single" w:sz="4" w:space="0" w:color="auto"/>
            </w:tcBorders>
            <w:shd w:val="clear" w:color="000000" w:fill="FFFFFF"/>
          </w:tcPr>
          <w:p w:rsidR="00BB0E04" w:rsidRPr="00BB0E04" w:rsidRDefault="00BB0E04" w:rsidP="00BB0E04">
            <w:pPr>
              <w:jc w:val="right"/>
              <w:rPr>
                <w:rFonts w:ascii="Arial" w:hAnsi="Arial" w:cs="Arial"/>
                <w:b/>
                <w:sz w:val="17"/>
                <w:szCs w:val="17"/>
              </w:rPr>
            </w:pPr>
            <w:r w:rsidRPr="00BB0E04">
              <w:rPr>
                <w:rFonts w:ascii="Arial" w:hAnsi="Arial" w:cs="Arial"/>
                <w:b/>
                <w:sz w:val="17"/>
                <w:szCs w:val="17"/>
              </w:rPr>
              <w:t xml:space="preserve">19,748,647 </w:t>
            </w:r>
          </w:p>
        </w:tc>
      </w:tr>
    </w:tbl>
    <w:p w:rsidR="00C81F8A" w:rsidRDefault="00C81F8A" w:rsidP="000767E5">
      <w:pPr>
        <w:spacing w:before="80" w:line="250" w:lineRule="exact"/>
        <w:ind w:left="709"/>
        <w:jc w:val="both"/>
        <w:rPr>
          <w:rFonts w:ascii="Arial" w:eastAsia="Calibri" w:hAnsi="Arial" w:cs="Arial"/>
          <w:spacing w:val="-1"/>
          <w:sz w:val="17"/>
          <w:szCs w:val="17"/>
        </w:rPr>
      </w:pP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EE0F53">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Pr="000767E5">
        <w:rPr>
          <w:rFonts w:ascii="Arial" w:eastAsia="Calibri" w:hAnsi="Arial" w:cs="Arial"/>
          <w:spacing w:val="-1"/>
          <w:sz w:val="17"/>
          <w:szCs w:val="17"/>
        </w:rPr>
        <w:t>Provisiones a Corto Plazo</w:t>
      </w:r>
      <w:r w:rsidR="00EE0F53">
        <w:rPr>
          <w:rFonts w:ascii="Arial" w:eastAsia="Calibri" w:hAnsi="Arial" w:cs="Arial"/>
          <w:spacing w:val="-1"/>
          <w:sz w:val="17"/>
          <w:szCs w:val="17"/>
        </w:rPr>
        <w:t xml:space="preserve"> es de </w:t>
      </w:r>
      <w:r w:rsidR="00175DF8" w:rsidRPr="00175DF8">
        <w:rPr>
          <w:rFonts w:ascii="Arial" w:eastAsia="Calibri" w:hAnsi="Arial" w:cs="Arial"/>
          <w:spacing w:val="-1"/>
          <w:sz w:val="17"/>
          <w:szCs w:val="17"/>
        </w:rPr>
        <w:t>119</w:t>
      </w:r>
      <w:proofErr w:type="gramStart"/>
      <w:r w:rsidR="00175DF8" w:rsidRPr="00175DF8">
        <w:rPr>
          <w:rFonts w:ascii="Arial" w:eastAsia="Calibri" w:hAnsi="Arial" w:cs="Arial"/>
          <w:spacing w:val="-1"/>
          <w:sz w:val="17"/>
          <w:szCs w:val="17"/>
        </w:rPr>
        <w:t>,394,591</w:t>
      </w:r>
      <w:proofErr w:type="gramEnd"/>
      <w:r w:rsidR="00175DF8" w:rsidRPr="00175DF8">
        <w:rPr>
          <w:rFonts w:ascii="Arial" w:eastAsia="Calibri" w:hAnsi="Arial" w:cs="Arial"/>
          <w:spacing w:val="-1"/>
          <w:sz w:val="17"/>
          <w:szCs w:val="17"/>
        </w:rPr>
        <w:t xml:space="preserve"> </w:t>
      </w:r>
      <w:r w:rsidR="00EE0F53">
        <w:rPr>
          <w:rFonts w:ascii="Arial" w:eastAsia="Calibri" w:hAnsi="Arial" w:cs="Arial"/>
          <w:spacing w:val="-1"/>
          <w:sz w:val="17"/>
          <w:szCs w:val="17"/>
        </w:rPr>
        <w:t>y corresponden a</w:t>
      </w:r>
      <w:r w:rsidR="00175DF8">
        <w:rPr>
          <w:rFonts w:ascii="Arial" w:eastAsia="Calibri" w:hAnsi="Arial" w:cs="Arial"/>
          <w:spacing w:val="-1"/>
          <w:sz w:val="17"/>
          <w:szCs w:val="17"/>
        </w:rPr>
        <w:t xml:space="preserve"> </w:t>
      </w:r>
      <w:r w:rsidR="00EE0F53">
        <w:rPr>
          <w:rFonts w:ascii="Arial" w:eastAsia="Calibri" w:hAnsi="Arial" w:cs="Arial"/>
          <w:spacing w:val="-1"/>
          <w:sz w:val="17"/>
          <w:szCs w:val="17"/>
        </w:rPr>
        <w:t>l</w:t>
      </w:r>
      <w:r w:rsidR="00175DF8">
        <w:rPr>
          <w:rFonts w:ascii="Arial" w:eastAsia="Calibri" w:hAnsi="Arial" w:cs="Arial"/>
          <w:spacing w:val="-1"/>
          <w:sz w:val="17"/>
          <w:szCs w:val="17"/>
        </w:rPr>
        <w:t>a</w:t>
      </w:r>
      <w:r w:rsidR="00EE0F53">
        <w:rPr>
          <w:rFonts w:ascii="Arial" w:eastAsia="Calibri" w:hAnsi="Arial" w:cs="Arial"/>
          <w:spacing w:val="-1"/>
          <w:sz w:val="17"/>
          <w:szCs w:val="17"/>
        </w:rPr>
        <w:t xml:space="preserve"> </w:t>
      </w:r>
      <w:r w:rsidR="00175DF8" w:rsidRPr="00175DF8">
        <w:rPr>
          <w:rFonts w:ascii="Arial" w:eastAsia="Calibri" w:hAnsi="Arial" w:cs="Arial"/>
          <w:spacing w:val="-1"/>
          <w:sz w:val="17"/>
          <w:szCs w:val="17"/>
        </w:rPr>
        <w:t>Comisión Estatal de Aguas</w:t>
      </w:r>
      <w:r w:rsidR="00EE0F53">
        <w:rPr>
          <w:rFonts w:ascii="Arial" w:eastAsia="Calibri" w:hAnsi="Arial" w:cs="Arial"/>
          <w:spacing w:val="-1"/>
          <w:sz w:val="17"/>
          <w:szCs w:val="17"/>
        </w:rPr>
        <w:t>.</w:t>
      </w:r>
    </w:p>
    <w:p w:rsidR="00175DF8" w:rsidRDefault="00175DF8" w:rsidP="00175DF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al 31 de diciembre del 2019</w:t>
      </w:r>
      <w:r w:rsidRPr="002D70DA">
        <w:rPr>
          <w:rFonts w:ascii="Arial" w:eastAsia="Calibri" w:hAnsi="Arial" w:cs="Arial"/>
          <w:spacing w:val="-1"/>
          <w:sz w:val="17"/>
          <w:szCs w:val="17"/>
        </w:rPr>
        <w:t xml:space="preserve"> de los recursos localizados en </w:t>
      </w:r>
      <w:r>
        <w:rPr>
          <w:rFonts w:ascii="Arial" w:eastAsia="Calibri" w:hAnsi="Arial" w:cs="Arial"/>
          <w:spacing w:val="-1"/>
          <w:sz w:val="17"/>
          <w:szCs w:val="17"/>
        </w:rPr>
        <w:t xml:space="preserve">la cuenta </w:t>
      </w:r>
      <w:r w:rsidRPr="00175DF8">
        <w:rPr>
          <w:rFonts w:ascii="Arial" w:eastAsia="Calibri" w:hAnsi="Arial" w:cs="Arial"/>
          <w:spacing w:val="-1"/>
          <w:sz w:val="17"/>
          <w:szCs w:val="17"/>
        </w:rPr>
        <w:t>Cuentas por Pagar a Largo Plazo</w:t>
      </w:r>
      <w:r>
        <w:rPr>
          <w:rFonts w:ascii="Arial" w:eastAsia="Calibri" w:hAnsi="Arial" w:cs="Arial"/>
          <w:spacing w:val="-1"/>
          <w:sz w:val="17"/>
          <w:szCs w:val="17"/>
        </w:rPr>
        <w:t xml:space="preserve"> es de </w:t>
      </w:r>
      <w:r w:rsidRPr="00175DF8">
        <w:rPr>
          <w:rFonts w:ascii="Arial" w:eastAsia="Calibri" w:hAnsi="Arial" w:cs="Arial"/>
          <w:spacing w:val="-1"/>
          <w:sz w:val="17"/>
          <w:szCs w:val="17"/>
        </w:rPr>
        <w:t>5</w:t>
      </w:r>
      <w:proofErr w:type="gramStart"/>
      <w:r w:rsidRPr="00175DF8">
        <w:rPr>
          <w:rFonts w:ascii="Arial" w:eastAsia="Calibri" w:hAnsi="Arial" w:cs="Arial"/>
          <w:spacing w:val="-1"/>
          <w:sz w:val="17"/>
          <w:szCs w:val="17"/>
        </w:rPr>
        <w:t>,742,245</w:t>
      </w:r>
      <w:proofErr w:type="gramEnd"/>
      <w:r w:rsidRPr="00175DF8">
        <w:rPr>
          <w:rFonts w:ascii="Arial" w:eastAsia="Calibri" w:hAnsi="Arial" w:cs="Arial"/>
          <w:spacing w:val="-1"/>
          <w:sz w:val="17"/>
          <w:szCs w:val="17"/>
        </w:rPr>
        <w:t xml:space="preserve"> </w:t>
      </w:r>
      <w:r>
        <w:rPr>
          <w:rFonts w:ascii="Arial" w:eastAsia="Calibri" w:hAnsi="Arial" w:cs="Arial"/>
          <w:spacing w:val="-1"/>
          <w:sz w:val="17"/>
          <w:szCs w:val="17"/>
        </w:rPr>
        <w:t xml:space="preserve">y corresponden </w:t>
      </w:r>
      <w:r w:rsidRPr="00175DF8">
        <w:rPr>
          <w:rFonts w:ascii="Arial" w:eastAsia="Calibri" w:hAnsi="Arial" w:cs="Arial"/>
          <w:spacing w:val="-1"/>
          <w:sz w:val="17"/>
          <w:szCs w:val="17"/>
        </w:rPr>
        <w:t>a la Comisión Estatal de Aguas</w:t>
      </w:r>
      <w:r>
        <w:rPr>
          <w:rFonts w:ascii="Arial" w:eastAsia="Calibri" w:hAnsi="Arial" w:cs="Arial"/>
          <w:spacing w:val="-1"/>
          <w:sz w:val="17"/>
          <w:szCs w:val="17"/>
        </w:rPr>
        <w:t>.</w:t>
      </w:r>
    </w:p>
    <w:p w:rsidR="00175DF8" w:rsidRDefault="00175DF8" w:rsidP="00175DF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al 31 de diciembre del 2019</w:t>
      </w:r>
      <w:r>
        <w:rPr>
          <w:rFonts w:ascii="Arial" w:eastAsia="Calibri" w:hAnsi="Arial" w:cs="Arial"/>
          <w:spacing w:val="-1"/>
          <w:sz w:val="17"/>
          <w:szCs w:val="17"/>
        </w:rPr>
        <w:t xml:space="preserve"> de </w:t>
      </w:r>
      <w:r>
        <w:rPr>
          <w:rFonts w:ascii="Arial" w:eastAsia="Calibri" w:hAnsi="Arial" w:cs="Arial"/>
          <w:spacing w:val="-1"/>
          <w:sz w:val="17"/>
          <w:szCs w:val="17"/>
        </w:rPr>
        <w:t xml:space="preserve">la cuenta </w:t>
      </w:r>
      <w:r w:rsidRPr="00175DF8">
        <w:rPr>
          <w:rFonts w:ascii="Arial" w:eastAsia="Calibri" w:hAnsi="Arial" w:cs="Arial"/>
          <w:spacing w:val="-1"/>
          <w:sz w:val="17"/>
          <w:szCs w:val="17"/>
        </w:rPr>
        <w:t>Documentos por Pagar a Largo Plazo</w:t>
      </w:r>
      <w:r>
        <w:rPr>
          <w:rFonts w:ascii="Arial" w:eastAsia="Calibri" w:hAnsi="Arial" w:cs="Arial"/>
          <w:spacing w:val="-1"/>
          <w:sz w:val="17"/>
          <w:szCs w:val="17"/>
        </w:rPr>
        <w:t xml:space="preserve"> es de </w:t>
      </w:r>
      <w:r w:rsidRPr="00175DF8">
        <w:rPr>
          <w:rFonts w:ascii="Arial" w:eastAsia="Calibri" w:hAnsi="Arial" w:cs="Arial"/>
          <w:spacing w:val="-1"/>
          <w:sz w:val="17"/>
          <w:szCs w:val="17"/>
        </w:rPr>
        <w:t>385</w:t>
      </w:r>
      <w:proofErr w:type="gramStart"/>
      <w:r w:rsidRPr="00175DF8">
        <w:rPr>
          <w:rFonts w:ascii="Arial" w:eastAsia="Calibri" w:hAnsi="Arial" w:cs="Arial"/>
          <w:spacing w:val="-1"/>
          <w:sz w:val="17"/>
          <w:szCs w:val="17"/>
        </w:rPr>
        <w:t>,935,737</w:t>
      </w:r>
      <w:proofErr w:type="gramEnd"/>
      <w:r w:rsidRPr="00175DF8">
        <w:rPr>
          <w:rFonts w:ascii="Arial" w:eastAsia="Calibri" w:hAnsi="Arial" w:cs="Arial"/>
          <w:spacing w:val="-1"/>
          <w:sz w:val="17"/>
          <w:szCs w:val="17"/>
        </w:rPr>
        <w:t xml:space="preserve"> </w:t>
      </w:r>
      <w:r>
        <w:rPr>
          <w:rFonts w:ascii="Arial" w:eastAsia="Calibri" w:hAnsi="Arial" w:cs="Arial"/>
          <w:spacing w:val="-1"/>
          <w:sz w:val="17"/>
          <w:szCs w:val="17"/>
        </w:rPr>
        <w:t xml:space="preserve">y corresponden </w:t>
      </w:r>
      <w:r w:rsidRPr="00175DF8">
        <w:rPr>
          <w:rFonts w:ascii="Arial" w:eastAsia="Calibri" w:hAnsi="Arial" w:cs="Arial"/>
          <w:spacing w:val="-1"/>
          <w:sz w:val="17"/>
          <w:szCs w:val="17"/>
        </w:rPr>
        <w:t>a la Comisión Estatal de Aguas</w:t>
      </w:r>
      <w:r>
        <w:rPr>
          <w:rFonts w:ascii="Arial" w:eastAsia="Calibri" w:hAnsi="Arial" w:cs="Arial"/>
          <w:spacing w:val="-1"/>
          <w:sz w:val="17"/>
          <w:szCs w:val="17"/>
        </w:rPr>
        <w:t>.</w:t>
      </w:r>
    </w:p>
    <w:p w:rsidR="00175DF8" w:rsidRDefault="00175DF8" w:rsidP="00175DF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2019 de la cuenta </w:t>
      </w:r>
      <w:r w:rsidRPr="00175DF8">
        <w:rPr>
          <w:rFonts w:ascii="Arial" w:eastAsia="Calibri" w:hAnsi="Arial" w:cs="Arial"/>
          <w:spacing w:val="-1"/>
          <w:sz w:val="17"/>
          <w:szCs w:val="17"/>
        </w:rPr>
        <w:t xml:space="preserve">Fondos y Bienes de Terceros en Garantía y/o Administración a Largo Plazo </w:t>
      </w:r>
      <w:r>
        <w:rPr>
          <w:rFonts w:ascii="Arial" w:eastAsia="Calibri" w:hAnsi="Arial" w:cs="Arial"/>
          <w:spacing w:val="-1"/>
          <w:sz w:val="17"/>
          <w:szCs w:val="17"/>
        </w:rPr>
        <w:t xml:space="preserve">es de </w:t>
      </w:r>
      <w:r w:rsidRPr="00175DF8">
        <w:rPr>
          <w:rFonts w:ascii="Arial" w:eastAsia="Calibri" w:hAnsi="Arial" w:cs="Arial"/>
          <w:spacing w:val="-1"/>
          <w:sz w:val="17"/>
          <w:szCs w:val="17"/>
        </w:rPr>
        <w:t>2</w:t>
      </w:r>
      <w:proofErr w:type="gramStart"/>
      <w:r w:rsidRPr="00175DF8">
        <w:rPr>
          <w:rFonts w:ascii="Arial" w:eastAsia="Calibri" w:hAnsi="Arial" w:cs="Arial"/>
          <w:spacing w:val="-1"/>
          <w:sz w:val="17"/>
          <w:szCs w:val="17"/>
        </w:rPr>
        <w:t>,852,204</w:t>
      </w:r>
      <w:proofErr w:type="gramEnd"/>
      <w:r w:rsidRPr="00175DF8">
        <w:rPr>
          <w:rFonts w:ascii="Arial" w:eastAsia="Calibri" w:hAnsi="Arial" w:cs="Arial"/>
          <w:spacing w:val="-1"/>
          <w:sz w:val="17"/>
          <w:szCs w:val="17"/>
        </w:rPr>
        <w:t xml:space="preserve"> </w:t>
      </w:r>
      <w:r>
        <w:rPr>
          <w:rFonts w:ascii="Arial" w:eastAsia="Calibri" w:hAnsi="Arial" w:cs="Arial"/>
          <w:spacing w:val="-1"/>
          <w:sz w:val="17"/>
          <w:szCs w:val="17"/>
        </w:rPr>
        <w:t xml:space="preserve">y corresponden </w:t>
      </w:r>
      <w:r w:rsidRPr="00175DF8">
        <w:rPr>
          <w:rFonts w:ascii="Arial" w:eastAsia="Calibri" w:hAnsi="Arial" w:cs="Arial"/>
          <w:spacing w:val="-1"/>
          <w:sz w:val="17"/>
          <w:szCs w:val="17"/>
        </w:rPr>
        <w:t>al</w:t>
      </w:r>
      <w:r>
        <w:rPr>
          <w:rFonts w:ascii="Arial" w:eastAsia="Calibri" w:hAnsi="Arial" w:cs="Arial"/>
          <w:spacing w:val="-1"/>
          <w:sz w:val="17"/>
          <w:szCs w:val="17"/>
        </w:rPr>
        <w:t xml:space="preserve"> </w:t>
      </w:r>
      <w:r w:rsidRPr="00175DF8">
        <w:rPr>
          <w:rFonts w:ascii="Arial" w:eastAsia="Calibri" w:hAnsi="Arial" w:cs="Arial"/>
          <w:spacing w:val="-1"/>
          <w:sz w:val="17"/>
          <w:szCs w:val="17"/>
        </w:rPr>
        <w:t>Aeropuerto Intercontin</w:t>
      </w:r>
      <w:r>
        <w:rPr>
          <w:rFonts w:ascii="Arial" w:eastAsia="Calibri" w:hAnsi="Arial" w:cs="Arial"/>
          <w:spacing w:val="-1"/>
          <w:sz w:val="17"/>
          <w:szCs w:val="17"/>
        </w:rPr>
        <w:t>ental de Querétaro</w:t>
      </w:r>
      <w:r>
        <w:rPr>
          <w:rFonts w:ascii="Arial" w:eastAsia="Calibri" w:hAnsi="Arial" w:cs="Arial"/>
          <w:spacing w:val="-1"/>
          <w:sz w:val="17"/>
          <w:szCs w:val="17"/>
        </w:rPr>
        <w:t>.</w:t>
      </w:r>
    </w:p>
    <w:p w:rsidR="009010CC" w:rsidRPr="008918A4" w:rsidRDefault="009010CC" w:rsidP="009010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 xml:space="preserve">Se informa </w:t>
      </w:r>
      <w:r w:rsidR="0081323F">
        <w:rPr>
          <w:rFonts w:ascii="Arial" w:eastAsia="Calibri" w:hAnsi="Arial" w:cs="Arial"/>
          <w:spacing w:val="-1"/>
          <w:sz w:val="17"/>
          <w:szCs w:val="17"/>
        </w:rPr>
        <w:t xml:space="preserve">el saldo de la cuenta de </w:t>
      </w:r>
      <w:r w:rsidR="00523304" w:rsidRPr="00523304">
        <w:rPr>
          <w:rFonts w:ascii="Arial" w:eastAsia="Calibri" w:hAnsi="Arial" w:cs="Arial"/>
          <w:spacing w:val="-1"/>
          <w:sz w:val="17"/>
          <w:szCs w:val="17"/>
        </w:rPr>
        <w:t xml:space="preserve">Provisiones a Largo </w:t>
      </w:r>
      <w:proofErr w:type="spellStart"/>
      <w:r w:rsidR="00523304" w:rsidRPr="00523304">
        <w:rPr>
          <w:rFonts w:ascii="Arial" w:eastAsia="Calibri" w:hAnsi="Arial" w:cs="Arial"/>
          <w:spacing w:val="-1"/>
          <w:sz w:val="17"/>
          <w:szCs w:val="17"/>
        </w:rPr>
        <w:t>Plazo</w:t>
      </w:r>
      <w:r w:rsidRPr="008918A4">
        <w:rPr>
          <w:rFonts w:ascii="Arial" w:eastAsia="Calibri" w:hAnsi="Arial" w:cs="Arial"/>
          <w:spacing w:val="-1"/>
          <w:sz w:val="17"/>
          <w:szCs w:val="17"/>
        </w:rPr>
        <w:t>al</w:t>
      </w:r>
      <w:proofErr w:type="spellEnd"/>
      <w:r w:rsidRPr="008918A4">
        <w:rPr>
          <w:rFonts w:ascii="Arial" w:eastAsia="Calibri" w:hAnsi="Arial" w:cs="Arial"/>
          <w:spacing w:val="-1"/>
          <w:sz w:val="17"/>
          <w:szCs w:val="17"/>
        </w:rPr>
        <w:t xml:space="preserve"> 31 de diciembre del </w:t>
      </w:r>
      <w:r w:rsidR="009831D5">
        <w:rPr>
          <w:rFonts w:ascii="Arial" w:eastAsia="Calibri" w:hAnsi="Arial" w:cs="Arial"/>
          <w:spacing w:val="-1"/>
          <w:sz w:val="17"/>
          <w:szCs w:val="17"/>
        </w:rPr>
        <w:t>2019</w:t>
      </w:r>
      <w:r>
        <w:rPr>
          <w:rFonts w:ascii="Arial" w:eastAsia="Calibri" w:hAnsi="Arial" w:cs="Arial"/>
          <w:spacing w:val="-1"/>
          <w:sz w:val="17"/>
          <w:szCs w:val="17"/>
        </w:rPr>
        <w:t xml:space="preserve"> </w:t>
      </w:r>
      <w:r w:rsidR="0081323F">
        <w:rPr>
          <w:rFonts w:ascii="Arial" w:eastAsia="Calibri" w:hAnsi="Arial" w:cs="Arial"/>
          <w:spacing w:val="-1"/>
          <w:sz w:val="17"/>
          <w:szCs w:val="17"/>
        </w:rPr>
        <w:t>es de</w:t>
      </w:r>
      <w:r w:rsidR="0081323F" w:rsidRPr="0081323F">
        <w:t xml:space="preserve"> </w:t>
      </w:r>
      <w:r w:rsidR="00523304" w:rsidRPr="00523304">
        <w:rPr>
          <w:rFonts w:ascii="Arial" w:eastAsia="Calibri" w:hAnsi="Arial" w:cs="Arial"/>
          <w:spacing w:val="-1"/>
          <w:sz w:val="17"/>
          <w:szCs w:val="17"/>
        </w:rPr>
        <w:t>25</w:t>
      </w:r>
      <w:proofErr w:type="gramStart"/>
      <w:r w:rsidR="00523304" w:rsidRPr="00523304">
        <w:rPr>
          <w:rFonts w:ascii="Arial" w:eastAsia="Calibri" w:hAnsi="Arial" w:cs="Arial"/>
          <w:spacing w:val="-1"/>
          <w:sz w:val="17"/>
          <w:szCs w:val="17"/>
        </w:rPr>
        <w:t>,687,725</w:t>
      </w:r>
      <w:proofErr w:type="gramEnd"/>
      <w:r w:rsidR="00523304" w:rsidRPr="00523304">
        <w:rPr>
          <w:rFonts w:ascii="Arial" w:eastAsia="Calibri" w:hAnsi="Arial" w:cs="Arial"/>
          <w:spacing w:val="-1"/>
          <w:sz w:val="17"/>
          <w:szCs w:val="17"/>
        </w:rPr>
        <w:t xml:space="preserve"> </w:t>
      </w:r>
      <w:r w:rsidR="00523304">
        <w:rPr>
          <w:rFonts w:ascii="Arial" w:eastAsia="Calibri" w:hAnsi="Arial" w:cs="Arial"/>
          <w:spacing w:val="-1"/>
          <w:sz w:val="17"/>
          <w:szCs w:val="17"/>
        </w:rPr>
        <w:t xml:space="preserve"> y corresponde a</w:t>
      </w:r>
      <w:r w:rsidR="0081323F">
        <w:rPr>
          <w:rFonts w:ascii="Arial" w:eastAsia="Calibri" w:hAnsi="Arial" w:cs="Arial"/>
          <w:spacing w:val="-1"/>
          <w:sz w:val="17"/>
          <w:szCs w:val="17"/>
        </w:rPr>
        <w:t>l</w:t>
      </w:r>
      <w:r w:rsidR="00523304">
        <w:rPr>
          <w:rFonts w:ascii="Arial" w:eastAsia="Calibri" w:hAnsi="Arial" w:cs="Arial"/>
          <w:spacing w:val="-1"/>
          <w:sz w:val="17"/>
          <w:szCs w:val="17"/>
        </w:rPr>
        <w:t xml:space="preserve"> </w:t>
      </w:r>
      <w:r w:rsidR="00523304" w:rsidRPr="00523304">
        <w:rPr>
          <w:rFonts w:ascii="Arial" w:eastAsia="Calibri" w:hAnsi="Arial" w:cs="Arial"/>
          <w:spacing w:val="-1"/>
          <w:sz w:val="17"/>
          <w:szCs w:val="17"/>
        </w:rPr>
        <w:t>Aeropuerto Intercontinental de Querétaro</w:t>
      </w:r>
      <w:r w:rsidR="0081323F">
        <w:rPr>
          <w:rFonts w:ascii="Arial" w:eastAsia="Calibri" w:hAnsi="Arial" w:cs="Arial"/>
          <w:spacing w:val="-1"/>
          <w:sz w:val="17"/>
          <w:szCs w:val="17"/>
        </w:rPr>
        <w:t>.</w:t>
      </w: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ED6EDA">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2018</w:t>
            </w:r>
          </w:p>
        </w:tc>
      </w:tr>
      <w:tr w:rsidR="00ED6EDA" w:rsidRPr="001E79D9" w:rsidTr="00ED6EDA">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D6EDA" w:rsidRPr="00826886" w:rsidRDefault="00ED6EDA" w:rsidP="00ED6EDA">
            <w:pPr>
              <w:rPr>
                <w:rFonts w:ascii="Arial" w:hAnsi="Arial" w:cs="Arial"/>
                <w:sz w:val="17"/>
                <w:szCs w:val="17"/>
              </w:rPr>
            </w:pPr>
            <w:r w:rsidRPr="00826886">
              <w:rPr>
                <w:rFonts w:ascii="Arial" w:hAnsi="Arial" w:cs="Arial"/>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ED6EDA" w:rsidRPr="00ED6EDA" w:rsidRDefault="00ED6EDA" w:rsidP="00ED6EDA">
            <w:pPr>
              <w:jc w:val="right"/>
              <w:rPr>
                <w:rFonts w:ascii="Arial" w:hAnsi="Arial" w:cs="Arial"/>
                <w:sz w:val="17"/>
                <w:szCs w:val="17"/>
              </w:rPr>
            </w:pPr>
            <w:r w:rsidRPr="00ED6EDA">
              <w:rPr>
                <w:rFonts w:ascii="Arial" w:hAnsi="Arial" w:cs="Arial"/>
                <w:sz w:val="17"/>
                <w:szCs w:val="17"/>
              </w:rPr>
              <w:t>65,409,821</w:t>
            </w:r>
          </w:p>
        </w:tc>
        <w:tc>
          <w:tcPr>
            <w:tcW w:w="2180" w:type="dxa"/>
            <w:tcBorders>
              <w:top w:val="nil"/>
              <w:left w:val="nil"/>
              <w:bottom w:val="single" w:sz="4" w:space="0" w:color="auto"/>
              <w:right w:val="single" w:sz="4" w:space="0" w:color="auto"/>
            </w:tcBorders>
            <w:shd w:val="clear" w:color="auto" w:fill="auto"/>
          </w:tcPr>
          <w:p w:rsidR="00ED6EDA" w:rsidRPr="00ED6EDA" w:rsidRDefault="00ED6EDA" w:rsidP="00ED6EDA">
            <w:pPr>
              <w:jc w:val="right"/>
              <w:rPr>
                <w:rFonts w:ascii="Arial" w:hAnsi="Arial" w:cs="Arial"/>
                <w:sz w:val="17"/>
                <w:szCs w:val="17"/>
              </w:rPr>
            </w:pPr>
            <w:r w:rsidRPr="00ED6EDA">
              <w:rPr>
                <w:rFonts w:ascii="Arial" w:hAnsi="Arial" w:cs="Arial"/>
                <w:sz w:val="17"/>
                <w:szCs w:val="17"/>
              </w:rPr>
              <w:t>77,183,071</w:t>
            </w:r>
          </w:p>
        </w:tc>
      </w:tr>
      <w:tr w:rsidR="00ED6EDA" w:rsidRPr="001E79D9" w:rsidTr="00ED6EDA">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D6EDA" w:rsidRPr="00826886" w:rsidRDefault="00ED6EDA" w:rsidP="00ED6EDA">
            <w:pPr>
              <w:rPr>
                <w:rFonts w:ascii="Arial" w:hAnsi="Arial" w:cs="Arial"/>
                <w:sz w:val="17"/>
                <w:szCs w:val="17"/>
              </w:rPr>
            </w:pPr>
            <w:r w:rsidRPr="00826886">
              <w:rPr>
                <w:rFonts w:ascii="Arial" w:hAnsi="Arial" w:cs="Arial"/>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ED6EDA" w:rsidRPr="00ED6EDA" w:rsidRDefault="00ED6EDA" w:rsidP="00ED6EDA">
            <w:pPr>
              <w:jc w:val="right"/>
              <w:rPr>
                <w:rFonts w:ascii="Arial" w:hAnsi="Arial" w:cs="Arial"/>
                <w:sz w:val="17"/>
                <w:szCs w:val="17"/>
              </w:rPr>
            </w:pPr>
            <w:r w:rsidRPr="00ED6EDA">
              <w:rPr>
                <w:rFonts w:ascii="Arial" w:hAnsi="Arial" w:cs="Arial"/>
                <w:sz w:val="17"/>
                <w:szCs w:val="17"/>
              </w:rPr>
              <w:t>2,282,612</w:t>
            </w:r>
          </w:p>
        </w:tc>
        <w:tc>
          <w:tcPr>
            <w:tcW w:w="2180" w:type="dxa"/>
            <w:tcBorders>
              <w:top w:val="nil"/>
              <w:left w:val="nil"/>
              <w:bottom w:val="single" w:sz="4" w:space="0" w:color="auto"/>
              <w:right w:val="single" w:sz="4" w:space="0" w:color="auto"/>
            </w:tcBorders>
            <w:shd w:val="clear" w:color="auto" w:fill="auto"/>
          </w:tcPr>
          <w:p w:rsidR="00ED6EDA" w:rsidRPr="00ED6EDA" w:rsidRDefault="00ED6EDA" w:rsidP="00ED6EDA">
            <w:pPr>
              <w:jc w:val="right"/>
              <w:rPr>
                <w:rFonts w:ascii="Arial" w:hAnsi="Arial" w:cs="Arial"/>
                <w:sz w:val="17"/>
                <w:szCs w:val="17"/>
              </w:rPr>
            </w:pPr>
            <w:r w:rsidRPr="00ED6EDA">
              <w:rPr>
                <w:rFonts w:ascii="Arial" w:hAnsi="Arial" w:cs="Arial"/>
                <w:sz w:val="17"/>
                <w:szCs w:val="17"/>
              </w:rPr>
              <w:t>0</w:t>
            </w:r>
          </w:p>
        </w:tc>
      </w:tr>
      <w:tr w:rsidR="00ED6EDA" w:rsidRPr="001E79D9" w:rsidTr="00ED6EDA">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D6EDA" w:rsidRPr="00826886" w:rsidRDefault="00ED6EDA" w:rsidP="00ED6EDA">
            <w:pPr>
              <w:rPr>
                <w:rFonts w:ascii="Arial" w:hAnsi="Arial" w:cs="Arial"/>
                <w:sz w:val="17"/>
                <w:szCs w:val="17"/>
              </w:rPr>
            </w:pPr>
            <w:r w:rsidRPr="00826886">
              <w:rPr>
                <w:rFonts w:ascii="Arial" w:hAnsi="Arial" w:cs="Arial"/>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ED6EDA" w:rsidRPr="00ED6EDA" w:rsidRDefault="00ED6EDA" w:rsidP="00ED6EDA">
            <w:pPr>
              <w:jc w:val="right"/>
              <w:rPr>
                <w:rFonts w:ascii="Arial" w:hAnsi="Arial" w:cs="Arial"/>
                <w:sz w:val="17"/>
                <w:szCs w:val="17"/>
              </w:rPr>
            </w:pPr>
            <w:r w:rsidRPr="00ED6EDA">
              <w:rPr>
                <w:rFonts w:ascii="Arial" w:hAnsi="Arial" w:cs="Arial"/>
                <w:sz w:val="17"/>
                <w:szCs w:val="17"/>
              </w:rPr>
              <w:t>3,067,579,794</w:t>
            </w:r>
          </w:p>
        </w:tc>
        <w:tc>
          <w:tcPr>
            <w:tcW w:w="2180" w:type="dxa"/>
            <w:tcBorders>
              <w:top w:val="nil"/>
              <w:left w:val="nil"/>
              <w:bottom w:val="single" w:sz="4" w:space="0" w:color="auto"/>
              <w:right w:val="single" w:sz="4" w:space="0" w:color="auto"/>
            </w:tcBorders>
            <w:shd w:val="clear" w:color="auto" w:fill="auto"/>
          </w:tcPr>
          <w:p w:rsidR="00ED6EDA" w:rsidRPr="00ED6EDA" w:rsidRDefault="00ED6EDA" w:rsidP="00ED6EDA">
            <w:pPr>
              <w:jc w:val="right"/>
              <w:rPr>
                <w:rFonts w:ascii="Arial" w:hAnsi="Arial" w:cs="Arial"/>
                <w:sz w:val="17"/>
                <w:szCs w:val="17"/>
              </w:rPr>
            </w:pPr>
            <w:r w:rsidRPr="00ED6EDA">
              <w:rPr>
                <w:rFonts w:ascii="Arial" w:hAnsi="Arial" w:cs="Arial"/>
                <w:sz w:val="17"/>
                <w:szCs w:val="17"/>
              </w:rPr>
              <w:t>2,758,395,223</w:t>
            </w:r>
          </w:p>
        </w:tc>
      </w:tr>
      <w:tr w:rsidR="00ED6EDA" w:rsidRPr="002D70DA" w:rsidTr="00ED6EDA">
        <w:trPr>
          <w:trHeight w:val="240"/>
          <w:jc w:val="center"/>
        </w:trPr>
        <w:tc>
          <w:tcPr>
            <w:tcW w:w="4900" w:type="dxa"/>
            <w:tcBorders>
              <w:top w:val="nil"/>
              <w:left w:val="nil"/>
              <w:bottom w:val="nil"/>
              <w:right w:val="nil"/>
            </w:tcBorders>
            <w:shd w:val="clear" w:color="000000" w:fill="FFFFFF"/>
            <w:vAlign w:val="center"/>
            <w:hideMark/>
          </w:tcPr>
          <w:p w:rsidR="00ED6EDA" w:rsidRPr="002D70DA" w:rsidRDefault="00ED6EDA" w:rsidP="00ED6EDA">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ED6EDA" w:rsidRPr="00ED6EDA" w:rsidRDefault="00ED6EDA" w:rsidP="00ED6EDA">
            <w:pPr>
              <w:jc w:val="right"/>
              <w:rPr>
                <w:rFonts w:ascii="Arial" w:hAnsi="Arial" w:cs="Arial"/>
                <w:b/>
                <w:sz w:val="17"/>
                <w:szCs w:val="17"/>
              </w:rPr>
            </w:pPr>
            <w:r w:rsidRPr="00ED6EDA">
              <w:rPr>
                <w:rFonts w:ascii="Arial" w:hAnsi="Arial" w:cs="Arial"/>
                <w:b/>
                <w:sz w:val="17"/>
                <w:szCs w:val="17"/>
              </w:rPr>
              <w:t>3,135,272,227</w:t>
            </w:r>
          </w:p>
        </w:tc>
        <w:tc>
          <w:tcPr>
            <w:tcW w:w="2180" w:type="dxa"/>
            <w:tcBorders>
              <w:top w:val="single" w:sz="4" w:space="0" w:color="auto"/>
              <w:left w:val="nil"/>
              <w:bottom w:val="single" w:sz="4" w:space="0" w:color="auto"/>
              <w:right w:val="single" w:sz="4" w:space="0" w:color="auto"/>
            </w:tcBorders>
            <w:shd w:val="clear" w:color="000000" w:fill="FFFFFF"/>
            <w:noWrap/>
          </w:tcPr>
          <w:p w:rsidR="00ED6EDA" w:rsidRPr="00ED6EDA" w:rsidRDefault="00ED6EDA" w:rsidP="00ED6EDA">
            <w:pPr>
              <w:jc w:val="right"/>
              <w:rPr>
                <w:rFonts w:ascii="Arial" w:hAnsi="Arial" w:cs="Arial"/>
                <w:b/>
                <w:sz w:val="17"/>
                <w:szCs w:val="17"/>
              </w:rPr>
            </w:pPr>
            <w:r w:rsidRPr="00ED6EDA">
              <w:rPr>
                <w:rFonts w:ascii="Arial" w:hAnsi="Arial" w:cs="Arial"/>
                <w:b/>
                <w:sz w:val="17"/>
                <w:szCs w:val="17"/>
              </w:rPr>
              <w:t>2,835,578,293</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E3E0F" w:rsidRPr="002D70DA" w:rsidTr="007529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752930" w:rsidRPr="002D70DA" w:rsidTr="007529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930" w:rsidRPr="00752930" w:rsidRDefault="00752930" w:rsidP="00752930">
            <w:pPr>
              <w:rPr>
                <w:rFonts w:ascii="Arial" w:hAnsi="Arial" w:cs="Arial"/>
                <w:sz w:val="17"/>
                <w:szCs w:val="17"/>
              </w:rPr>
            </w:pPr>
            <w:r w:rsidRPr="00752930">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752930" w:rsidRPr="00752930" w:rsidRDefault="00752930" w:rsidP="00752930">
            <w:pPr>
              <w:jc w:val="right"/>
              <w:rPr>
                <w:rFonts w:ascii="Arial" w:hAnsi="Arial" w:cs="Arial"/>
                <w:sz w:val="17"/>
                <w:szCs w:val="17"/>
              </w:rPr>
            </w:pPr>
            <w:r w:rsidRPr="00752930">
              <w:rPr>
                <w:rFonts w:ascii="Arial" w:hAnsi="Arial" w:cs="Arial"/>
                <w:sz w:val="17"/>
                <w:szCs w:val="17"/>
              </w:rPr>
              <w:t xml:space="preserve">2,794,491,864 </w:t>
            </w:r>
          </w:p>
        </w:tc>
        <w:tc>
          <w:tcPr>
            <w:tcW w:w="2180" w:type="dxa"/>
            <w:tcBorders>
              <w:top w:val="single" w:sz="4" w:space="0" w:color="auto"/>
              <w:left w:val="nil"/>
              <w:bottom w:val="single" w:sz="4" w:space="0" w:color="auto"/>
              <w:right w:val="single" w:sz="4" w:space="0" w:color="auto"/>
            </w:tcBorders>
            <w:shd w:val="clear" w:color="auto" w:fill="auto"/>
          </w:tcPr>
          <w:p w:rsidR="00752930" w:rsidRPr="00752930" w:rsidRDefault="00752930" w:rsidP="00752930">
            <w:pPr>
              <w:jc w:val="right"/>
              <w:rPr>
                <w:rFonts w:ascii="Arial" w:hAnsi="Arial" w:cs="Arial"/>
                <w:sz w:val="17"/>
                <w:szCs w:val="17"/>
              </w:rPr>
            </w:pPr>
            <w:r w:rsidRPr="00752930">
              <w:rPr>
                <w:rFonts w:ascii="Arial" w:hAnsi="Arial" w:cs="Arial"/>
                <w:sz w:val="17"/>
                <w:szCs w:val="17"/>
              </w:rPr>
              <w:t xml:space="preserve">2,565,789,811 </w:t>
            </w:r>
          </w:p>
        </w:tc>
      </w:tr>
      <w:tr w:rsidR="00752930" w:rsidRPr="002D70DA" w:rsidTr="007529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2930" w:rsidRPr="00752930" w:rsidRDefault="00752930" w:rsidP="00752930">
            <w:pPr>
              <w:rPr>
                <w:rFonts w:ascii="Arial" w:hAnsi="Arial" w:cs="Arial"/>
                <w:sz w:val="17"/>
                <w:szCs w:val="17"/>
              </w:rPr>
            </w:pPr>
            <w:r w:rsidRPr="00752930">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752930" w:rsidRPr="00752930" w:rsidRDefault="00752930" w:rsidP="00752930">
            <w:pPr>
              <w:jc w:val="right"/>
              <w:rPr>
                <w:rFonts w:ascii="Arial" w:hAnsi="Arial" w:cs="Arial"/>
                <w:sz w:val="17"/>
                <w:szCs w:val="17"/>
              </w:rPr>
            </w:pPr>
            <w:r w:rsidRPr="00752930">
              <w:rPr>
                <w:rFonts w:ascii="Arial" w:hAnsi="Arial" w:cs="Arial"/>
                <w:sz w:val="17"/>
                <w:szCs w:val="17"/>
              </w:rPr>
              <w:t xml:space="preserve">340,780,363 </w:t>
            </w:r>
          </w:p>
        </w:tc>
        <w:tc>
          <w:tcPr>
            <w:tcW w:w="2180" w:type="dxa"/>
            <w:tcBorders>
              <w:top w:val="single" w:sz="4" w:space="0" w:color="auto"/>
              <w:left w:val="nil"/>
              <w:bottom w:val="single" w:sz="4" w:space="0" w:color="auto"/>
              <w:right w:val="single" w:sz="4" w:space="0" w:color="auto"/>
            </w:tcBorders>
            <w:shd w:val="clear" w:color="auto" w:fill="auto"/>
          </w:tcPr>
          <w:p w:rsidR="00752930" w:rsidRPr="00752930" w:rsidRDefault="00752930" w:rsidP="00752930">
            <w:pPr>
              <w:jc w:val="right"/>
              <w:rPr>
                <w:rFonts w:ascii="Arial" w:hAnsi="Arial" w:cs="Arial"/>
                <w:sz w:val="17"/>
                <w:szCs w:val="17"/>
              </w:rPr>
            </w:pPr>
            <w:r w:rsidRPr="00752930">
              <w:rPr>
                <w:rFonts w:ascii="Arial" w:hAnsi="Arial" w:cs="Arial"/>
                <w:sz w:val="17"/>
                <w:szCs w:val="17"/>
              </w:rPr>
              <w:t xml:space="preserve">269,788,482 </w:t>
            </w:r>
          </w:p>
        </w:tc>
      </w:tr>
      <w:tr w:rsidR="00752930" w:rsidRPr="002D70DA" w:rsidTr="00752930">
        <w:trPr>
          <w:trHeight w:val="240"/>
          <w:jc w:val="center"/>
        </w:trPr>
        <w:tc>
          <w:tcPr>
            <w:tcW w:w="4900" w:type="dxa"/>
            <w:tcBorders>
              <w:top w:val="nil"/>
              <w:left w:val="nil"/>
              <w:bottom w:val="nil"/>
              <w:right w:val="single" w:sz="4" w:space="0" w:color="auto"/>
            </w:tcBorders>
            <w:shd w:val="clear" w:color="000000" w:fill="FFFFFF"/>
            <w:vAlign w:val="center"/>
            <w:hideMark/>
          </w:tcPr>
          <w:p w:rsidR="00752930" w:rsidRPr="002D70DA" w:rsidRDefault="00752930" w:rsidP="0075293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52930" w:rsidRPr="00752930" w:rsidRDefault="00752930" w:rsidP="00752930">
            <w:pPr>
              <w:jc w:val="right"/>
              <w:rPr>
                <w:rFonts w:ascii="Arial" w:hAnsi="Arial" w:cs="Arial"/>
                <w:b/>
                <w:sz w:val="17"/>
                <w:szCs w:val="17"/>
              </w:rPr>
            </w:pPr>
            <w:r w:rsidRPr="00752930">
              <w:rPr>
                <w:rFonts w:ascii="Arial" w:hAnsi="Arial" w:cs="Arial"/>
                <w:b/>
                <w:sz w:val="17"/>
                <w:szCs w:val="17"/>
              </w:rPr>
              <w:t>3,135,272,227</w:t>
            </w:r>
          </w:p>
        </w:tc>
        <w:tc>
          <w:tcPr>
            <w:tcW w:w="2180" w:type="dxa"/>
            <w:tcBorders>
              <w:top w:val="nil"/>
              <w:left w:val="single" w:sz="4" w:space="0" w:color="auto"/>
              <w:bottom w:val="single" w:sz="4" w:space="0" w:color="auto"/>
              <w:right w:val="single" w:sz="4" w:space="0" w:color="auto"/>
            </w:tcBorders>
            <w:shd w:val="clear" w:color="000000" w:fill="FFFFFF"/>
          </w:tcPr>
          <w:p w:rsidR="00752930" w:rsidRPr="00752930" w:rsidRDefault="00752930" w:rsidP="00752930">
            <w:pPr>
              <w:jc w:val="right"/>
              <w:rPr>
                <w:rFonts w:ascii="Arial" w:hAnsi="Arial" w:cs="Arial"/>
                <w:b/>
                <w:sz w:val="17"/>
                <w:szCs w:val="17"/>
              </w:rPr>
            </w:pPr>
            <w:r w:rsidRPr="00752930">
              <w:rPr>
                <w:rFonts w:ascii="Arial" w:hAnsi="Arial" w:cs="Arial"/>
                <w:b/>
                <w:sz w:val="17"/>
                <w:szCs w:val="17"/>
              </w:rPr>
              <w:t xml:space="preserve">2,835,578,293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r>
        <w:rPr>
          <w:rFonts w:ascii="Arial" w:eastAsia="Calibri" w:hAnsi="Arial" w:cs="Arial"/>
          <w:spacing w:val="-1"/>
          <w:sz w:val="17"/>
          <w:szCs w:val="17"/>
        </w:rPr>
        <w:br w:type="page"/>
      </w: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003A2688" w:rsidRPr="003A2688">
        <w:rPr>
          <w:rFonts w:ascii="Arial" w:eastAsia="Calibri" w:hAnsi="Arial" w:cs="Arial"/>
          <w:spacing w:val="-1"/>
          <w:sz w:val="17"/>
          <w:szCs w:val="17"/>
        </w:rPr>
        <w:t>Participaciones, Aportaciones, Convenios, Incentivos Derivados de la Colaboración Fiscal y Fondos Distintos de Aportaciones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CE62B2">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511959" w:rsidRPr="002D70DA" w:rsidTr="00CE62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11959" w:rsidRPr="00E2754C" w:rsidRDefault="00511959" w:rsidP="00511959">
            <w:pPr>
              <w:rPr>
                <w:rFonts w:ascii="Arial" w:hAnsi="Arial" w:cs="Arial"/>
                <w:sz w:val="17"/>
                <w:szCs w:val="17"/>
              </w:rPr>
            </w:pPr>
            <w:r w:rsidRPr="00E2754C">
              <w:rPr>
                <w:rFonts w:ascii="Arial" w:hAnsi="Arial" w:cs="Arial"/>
                <w:sz w:val="17"/>
                <w:szCs w:val="17"/>
              </w:rPr>
              <w:t>Convenios</w:t>
            </w:r>
          </w:p>
        </w:tc>
        <w:tc>
          <w:tcPr>
            <w:tcW w:w="2091" w:type="dxa"/>
            <w:tcBorders>
              <w:top w:val="single" w:sz="4" w:space="0" w:color="auto"/>
              <w:left w:val="nil"/>
              <w:bottom w:val="single" w:sz="4" w:space="0" w:color="auto"/>
              <w:right w:val="single" w:sz="4" w:space="0" w:color="auto"/>
            </w:tcBorders>
            <w:shd w:val="clear" w:color="auto" w:fill="auto"/>
          </w:tcPr>
          <w:p w:rsidR="00511959" w:rsidRPr="00511959" w:rsidRDefault="00CE62B2" w:rsidP="00511959">
            <w:pPr>
              <w:jc w:val="right"/>
              <w:rPr>
                <w:rFonts w:ascii="Arial" w:hAnsi="Arial" w:cs="Arial"/>
                <w:sz w:val="17"/>
                <w:szCs w:val="17"/>
              </w:rPr>
            </w:pPr>
            <w:r w:rsidRPr="00CE62B2">
              <w:rPr>
                <w:rFonts w:ascii="Arial" w:hAnsi="Arial" w:cs="Arial"/>
                <w:sz w:val="17"/>
                <w:szCs w:val="17"/>
              </w:rPr>
              <w:t>20,000,000</w:t>
            </w:r>
          </w:p>
        </w:tc>
        <w:tc>
          <w:tcPr>
            <w:tcW w:w="2148" w:type="dxa"/>
            <w:tcBorders>
              <w:top w:val="nil"/>
              <w:left w:val="single" w:sz="4" w:space="0" w:color="auto"/>
              <w:bottom w:val="single" w:sz="4" w:space="0" w:color="auto"/>
              <w:right w:val="single" w:sz="4" w:space="0" w:color="auto"/>
            </w:tcBorders>
            <w:shd w:val="clear" w:color="auto" w:fill="auto"/>
          </w:tcPr>
          <w:p w:rsidR="00511959" w:rsidRPr="00511959" w:rsidRDefault="00511959" w:rsidP="00511959">
            <w:pPr>
              <w:jc w:val="right"/>
              <w:rPr>
                <w:rFonts w:ascii="Arial" w:hAnsi="Arial" w:cs="Arial"/>
                <w:sz w:val="17"/>
                <w:szCs w:val="17"/>
              </w:rPr>
            </w:pPr>
            <w:r w:rsidRPr="00511959">
              <w:rPr>
                <w:rFonts w:ascii="Arial" w:hAnsi="Arial" w:cs="Arial"/>
                <w:sz w:val="17"/>
                <w:szCs w:val="17"/>
              </w:rPr>
              <w:t xml:space="preserve"> -   </w:t>
            </w:r>
          </w:p>
        </w:tc>
      </w:tr>
    </w:tbl>
    <w:p w:rsidR="00F15CC6" w:rsidRDefault="00F15CC6" w:rsidP="00F87E9E">
      <w:pPr>
        <w:autoSpaceDE w:val="0"/>
        <w:autoSpaceDN w:val="0"/>
        <w:adjustRightInd w:val="0"/>
        <w:spacing w:before="240" w:after="120"/>
        <w:ind w:left="709"/>
        <w:rPr>
          <w:rFonts w:ascii="Arial" w:eastAsia="Calibri" w:hAnsi="Arial" w:cs="Arial"/>
          <w:spacing w:val="-1"/>
          <w:sz w:val="17"/>
          <w:szCs w:val="17"/>
        </w:rPr>
      </w:pPr>
    </w:p>
    <w:p w:rsidR="00F87E9E" w:rsidRDefault="00F87E9E" w:rsidP="00F87E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La cual </w:t>
      </w:r>
      <w:r w:rsidR="00CE62B2">
        <w:rPr>
          <w:rFonts w:ascii="Arial" w:eastAsia="Calibri" w:hAnsi="Arial" w:cs="Arial"/>
          <w:spacing w:val="-1"/>
          <w:sz w:val="17"/>
          <w:szCs w:val="17"/>
        </w:rPr>
        <w:t xml:space="preserve">corresponde al </w:t>
      </w:r>
      <w:r w:rsidR="00CE62B2" w:rsidRPr="00CE62B2">
        <w:rPr>
          <w:rFonts w:ascii="Arial" w:eastAsia="Calibri" w:hAnsi="Arial" w:cs="Arial"/>
          <w:spacing w:val="-1"/>
          <w:sz w:val="17"/>
          <w:szCs w:val="17"/>
        </w:rPr>
        <w:t>Aeropuerto Intercontinental de Querétaro</w:t>
      </w:r>
      <w:r w:rsidR="00CE62B2">
        <w:rPr>
          <w:rFonts w:ascii="Arial" w:eastAsia="Calibri" w:hAnsi="Arial" w:cs="Arial"/>
          <w:spacing w:val="-1"/>
          <w:sz w:val="17"/>
          <w:szCs w:val="17"/>
        </w:rPr>
        <w:t>.</w:t>
      </w:r>
    </w:p>
    <w:p w:rsidR="003A0AB6" w:rsidRDefault="003A0AB6">
      <w:pPr>
        <w:rPr>
          <w:rFonts w:ascii="Arial" w:eastAsia="Calibri" w:hAnsi="Arial" w:cs="Arial"/>
          <w:b/>
          <w:spacing w:val="-1"/>
          <w:sz w:val="17"/>
          <w:szCs w:val="17"/>
        </w:rPr>
      </w:pPr>
    </w:p>
    <w:p w:rsidR="003A2688" w:rsidRPr="002D70DA" w:rsidRDefault="003A2688" w:rsidP="003A268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Pr="003A2688">
        <w:rPr>
          <w:rFonts w:ascii="Arial" w:eastAsia="Calibri" w:hAnsi="Arial" w:cs="Arial"/>
          <w:spacing w:val="-1"/>
          <w:sz w:val="17"/>
          <w:szCs w:val="17"/>
        </w:rPr>
        <w:t>Transferencia, Asignaciones, Subsidios y Subvenciones, y Pensiones y Jubilaciones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Pr>
          <w:rFonts w:ascii="Arial" w:eastAsia="Calibri" w:hAnsi="Arial" w:cs="Arial"/>
          <w:spacing w:val="-1"/>
          <w:sz w:val="17"/>
          <w:szCs w:val="17"/>
        </w:rPr>
        <w:t>que el saldo al 31 de diciembre del 2019 es:</w:t>
      </w:r>
    </w:p>
    <w:p w:rsidR="003A2688" w:rsidRDefault="003A2688" w:rsidP="003A2688">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3A2688" w:rsidRPr="002D70DA" w:rsidTr="00CE62B2">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2688" w:rsidRPr="002D70DA" w:rsidRDefault="003A2688" w:rsidP="001E1BE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3A2688" w:rsidRPr="002D70DA" w:rsidRDefault="003A2688" w:rsidP="001E1BE9">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2688" w:rsidRPr="002D70DA" w:rsidRDefault="003A2688" w:rsidP="001E1BE9">
            <w:pPr>
              <w:jc w:val="center"/>
              <w:rPr>
                <w:rFonts w:ascii="Arial" w:hAnsi="Arial" w:cs="Arial"/>
                <w:b/>
                <w:bCs/>
                <w:color w:val="000000"/>
                <w:sz w:val="17"/>
                <w:szCs w:val="17"/>
              </w:rPr>
            </w:pPr>
            <w:r>
              <w:rPr>
                <w:rFonts w:ascii="Arial" w:hAnsi="Arial" w:cs="Arial"/>
                <w:b/>
                <w:bCs/>
                <w:color w:val="000000"/>
                <w:sz w:val="17"/>
                <w:szCs w:val="17"/>
              </w:rPr>
              <w:t>2018</w:t>
            </w:r>
          </w:p>
        </w:tc>
      </w:tr>
      <w:tr w:rsidR="00CE62B2" w:rsidRPr="002D70DA" w:rsidTr="00CE62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E62B2" w:rsidRPr="003A2688" w:rsidRDefault="00CE62B2" w:rsidP="00CE62B2">
            <w:pPr>
              <w:rPr>
                <w:rFonts w:ascii="Arial" w:hAnsi="Arial" w:cs="Arial"/>
                <w:sz w:val="17"/>
                <w:szCs w:val="17"/>
              </w:rPr>
            </w:pPr>
            <w:r w:rsidRPr="003A2688">
              <w:rPr>
                <w:rFonts w:ascii="Arial" w:hAnsi="Arial" w:cs="Arial"/>
                <w:sz w:val="17"/>
                <w:szCs w:val="17"/>
              </w:rPr>
              <w:t>Transferencias y Asignaciones</w:t>
            </w:r>
          </w:p>
        </w:tc>
        <w:tc>
          <w:tcPr>
            <w:tcW w:w="2091" w:type="dxa"/>
            <w:tcBorders>
              <w:top w:val="single" w:sz="4" w:space="0" w:color="auto"/>
              <w:left w:val="nil"/>
              <w:bottom w:val="single" w:sz="4" w:space="0" w:color="auto"/>
              <w:right w:val="single" w:sz="4" w:space="0" w:color="auto"/>
            </w:tcBorders>
            <w:shd w:val="clear" w:color="auto" w:fill="auto"/>
          </w:tcPr>
          <w:p w:rsidR="00CE62B2" w:rsidRPr="00CE62B2" w:rsidRDefault="00CE62B2" w:rsidP="00CE62B2">
            <w:pPr>
              <w:jc w:val="right"/>
              <w:rPr>
                <w:rFonts w:ascii="Arial" w:hAnsi="Arial" w:cs="Arial"/>
                <w:sz w:val="17"/>
                <w:szCs w:val="17"/>
              </w:rPr>
            </w:pPr>
            <w:r w:rsidRPr="00CE62B2">
              <w:rPr>
                <w:rFonts w:ascii="Arial" w:hAnsi="Arial" w:cs="Arial"/>
                <w:sz w:val="17"/>
                <w:szCs w:val="17"/>
              </w:rPr>
              <w:t xml:space="preserve"> 46,958,112 </w:t>
            </w:r>
          </w:p>
        </w:tc>
        <w:tc>
          <w:tcPr>
            <w:tcW w:w="2148" w:type="dxa"/>
            <w:tcBorders>
              <w:top w:val="nil"/>
              <w:left w:val="single" w:sz="4" w:space="0" w:color="auto"/>
              <w:bottom w:val="single" w:sz="4" w:space="0" w:color="auto"/>
              <w:right w:val="single" w:sz="4" w:space="0" w:color="auto"/>
            </w:tcBorders>
            <w:shd w:val="clear" w:color="auto" w:fill="auto"/>
          </w:tcPr>
          <w:p w:rsidR="00CE62B2" w:rsidRPr="00CE62B2" w:rsidRDefault="00CE62B2" w:rsidP="00CE62B2">
            <w:pPr>
              <w:jc w:val="right"/>
              <w:rPr>
                <w:rFonts w:ascii="Arial" w:hAnsi="Arial" w:cs="Arial"/>
                <w:sz w:val="17"/>
                <w:szCs w:val="17"/>
              </w:rPr>
            </w:pPr>
            <w:r w:rsidRPr="00CE62B2">
              <w:rPr>
                <w:rFonts w:ascii="Arial" w:hAnsi="Arial" w:cs="Arial"/>
                <w:sz w:val="17"/>
                <w:szCs w:val="17"/>
              </w:rPr>
              <w:t xml:space="preserve"> 330,000,000 </w:t>
            </w:r>
          </w:p>
        </w:tc>
      </w:tr>
    </w:tbl>
    <w:p w:rsidR="00CE62B2" w:rsidRDefault="00CE62B2" w:rsidP="003A2688">
      <w:pPr>
        <w:autoSpaceDE w:val="0"/>
        <w:autoSpaceDN w:val="0"/>
        <w:adjustRightInd w:val="0"/>
        <w:spacing w:before="240" w:after="120"/>
        <w:ind w:left="709"/>
        <w:rPr>
          <w:rFonts w:ascii="Arial" w:eastAsia="Calibri" w:hAnsi="Arial" w:cs="Arial"/>
          <w:spacing w:val="-1"/>
          <w:sz w:val="17"/>
          <w:szCs w:val="17"/>
        </w:rPr>
      </w:pPr>
    </w:p>
    <w:p w:rsidR="003A2688" w:rsidRDefault="00CE62B2" w:rsidP="003A268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corresponde a</w:t>
      </w:r>
      <w:r>
        <w:rPr>
          <w:rFonts w:ascii="Arial" w:eastAsia="Calibri" w:hAnsi="Arial" w:cs="Arial"/>
          <w:spacing w:val="-1"/>
          <w:sz w:val="17"/>
          <w:szCs w:val="17"/>
        </w:rPr>
        <w:t xml:space="preserve"> </w:t>
      </w:r>
      <w:r>
        <w:rPr>
          <w:rFonts w:ascii="Arial" w:eastAsia="Calibri" w:hAnsi="Arial" w:cs="Arial"/>
          <w:spacing w:val="-1"/>
          <w:sz w:val="17"/>
          <w:szCs w:val="17"/>
        </w:rPr>
        <w:t>l</w:t>
      </w:r>
      <w:r>
        <w:rPr>
          <w:rFonts w:ascii="Arial" w:eastAsia="Calibri" w:hAnsi="Arial" w:cs="Arial"/>
          <w:spacing w:val="-1"/>
          <w:sz w:val="17"/>
          <w:szCs w:val="17"/>
        </w:rPr>
        <w:t>a</w:t>
      </w:r>
      <w:r>
        <w:rPr>
          <w:rFonts w:ascii="Arial" w:eastAsia="Calibri" w:hAnsi="Arial" w:cs="Arial"/>
          <w:spacing w:val="-1"/>
          <w:sz w:val="17"/>
          <w:szCs w:val="17"/>
        </w:rPr>
        <w:t xml:space="preserve"> </w:t>
      </w:r>
      <w:r w:rsidRPr="00CE62B2">
        <w:rPr>
          <w:rFonts w:ascii="Arial" w:eastAsia="Calibri" w:hAnsi="Arial" w:cs="Arial"/>
          <w:spacing w:val="-1"/>
          <w:sz w:val="17"/>
          <w:szCs w:val="17"/>
        </w:rPr>
        <w:t>Comisión Estatal de Aguas</w:t>
      </w:r>
      <w:r>
        <w:rPr>
          <w:rFonts w:ascii="Arial" w:eastAsia="Calibri" w:hAnsi="Arial" w:cs="Arial"/>
          <w:spacing w:val="-1"/>
          <w:sz w:val="17"/>
          <w:szCs w:val="17"/>
        </w:rPr>
        <w:t>.</w:t>
      </w:r>
    </w:p>
    <w:p w:rsidR="003A2688" w:rsidRDefault="003A2688" w:rsidP="003A2688">
      <w:pPr>
        <w:rPr>
          <w:rFonts w:ascii="Arial" w:eastAsia="Calibri" w:hAnsi="Arial" w:cs="Arial"/>
          <w:b/>
          <w:spacing w:val="-1"/>
          <w:sz w:val="17"/>
          <w:szCs w:val="17"/>
        </w:rPr>
      </w:pP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9831D5">
        <w:rPr>
          <w:rFonts w:ascii="Arial" w:eastAsia="Calibri" w:hAnsi="Arial" w:cs="Arial"/>
          <w:spacing w:val="-1"/>
          <w:sz w:val="17"/>
          <w:szCs w:val="17"/>
        </w:rPr>
        <w:t>2019</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D429D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D429D5" w:rsidRPr="002D70DA" w:rsidTr="00D429D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D429D5" w:rsidRPr="0055148B" w:rsidRDefault="00D429D5" w:rsidP="00D429D5">
            <w:pPr>
              <w:rPr>
                <w:rFonts w:ascii="Arial" w:hAnsi="Arial" w:cs="Arial"/>
                <w:sz w:val="17"/>
                <w:szCs w:val="17"/>
              </w:rPr>
            </w:pPr>
            <w:r w:rsidRPr="0055148B">
              <w:rPr>
                <w:rFonts w:ascii="Arial" w:hAnsi="Arial" w:cs="Arial"/>
                <w:sz w:val="17"/>
                <w:szCs w:val="17"/>
              </w:rPr>
              <w:t xml:space="preserve">Ingresos Financieros  </w:t>
            </w:r>
          </w:p>
        </w:tc>
        <w:tc>
          <w:tcPr>
            <w:tcW w:w="2091" w:type="dxa"/>
            <w:tcBorders>
              <w:top w:val="single" w:sz="4" w:space="0" w:color="auto"/>
              <w:left w:val="nil"/>
              <w:bottom w:val="single" w:sz="4" w:space="0" w:color="auto"/>
              <w:right w:val="single" w:sz="4" w:space="0" w:color="auto"/>
            </w:tcBorders>
            <w:shd w:val="clear" w:color="auto" w:fill="auto"/>
          </w:tcPr>
          <w:p w:rsidR="00D429D5" w:rsidRPr="00D429D5" w:rsidRDefault="00D429D5" w:rsidP="00D429D5">
            <w:pPr>
              <w:jc w:val="right"/>
              <w:rPr>
                <w:rFonts w:ascii="Arial" w:hAnsi="Arial" w:cs="Arial"/>
                <w:sz w:val="17"/>
                <w:szCs w:val="17"/>
              </w:rPr>
            </w:pPr>
            <w:r w:rsidRPr="00D429D5">
              <w:rPr>
                <w:rFonts w:ascii="Arial" w:hAnsi="Arial" w:cs="Arial"/>
                <w:sz w:val="17"/>
                <w:szCs w:val="17"/>
              </w:rPr>
              <w:t>0</w:t>
            </w:r>
          </w:p>
        </w:tc>
        <w:tc>
          <w:tcPr>
            <w:tcW w:w="2148" w:type="dxa"/>
            <w:tcBorders>
              <w:top w:val="nil"/>
              <w:left w:val="single" w:sz="4" w:space="0" w:color="auto"/>
              <w:bottom w:val="single" w:sz="4" w:space="0" w:color="auto"/>
              <w:right w:val="single" w:sz="4" w:space="0" w:color="auto"/>
            </w:tcBorders>
            <w:shd w:val="clear" w:color="auto" w:fill="auto"/>
          </w:tcPr>
          <w:p w:rsidR="00D429D5" w:rsidRPr="00D429D5" w:rsidRDefault="00D429D5" w:rsidP="00D429D5">
            <w:pPr>
              <w:jc w:val="right"/>
              <w:rPr>
                <w:rFonts w:ascii="Arial" w:hAnsi="Arial" w:cs="Arial"/>
                <w:sz w:val="17"/>
                <w:szCs w:val="17"/>
              </w:rPr>
            </w:pPr>
            <w:r w:rsidRPr="00D429D5">
              <w:rPr>
                <w:rFonts w:ascii="Arial" w:hAnsi="Arial" w:cs="Arial"/>
                <w:sz w:val="17"/>
                <w:szCs w:val="17"/>
              </w:rPr>
              <w:t>3,477,842</w:t>
            </w:r>
          </w:p>
        </w:tc>
      </w:tr>
      <w:tr w:rsidR="00D429D5" w:rsidRPr="002D70DA" w:rsidTr="00D429D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D429D5" w:rsidRPr="0055148B" w:rsidRDefault="00D429D5" w:rsidP="00D429D5">
            <w:pPr>
              <w:rPr>
                <w:rFonts w:ascii="Arial" w:hAnsi="Arial" w:cs="Arial"/>
                <w:sz w:val="17"/>
                <w:szCs w:val="17"/>
              </w:rPr>
            </w:pPr>
            <w:r w:rsidRPr="00D429D5">
              <w:rPr>
                <w:rFonts w:ascii="Arial" w:hAnsi="Arial" w:cs="Arial"/>
                <w:sz w:val="17"/>
                <w:szCs w:val="17"/>
              </w:rPr>
              <w:t>Disminución del Exceso de Estimaciones por Pérdida o Deterioro u Obsolescencia</w:t>
            </w:r>
          </w:p>
        </w:tc>
        <w:tc>
          <w:tcPr>
            <w:tcW w:w="2091" w:type="dxa"/>
            <w:tcBorders>
              <w:top w:val="single" w:sz="4" w:space="0" w:color="auto"/>
              <w:left w:val="nil"/>
              <w:bottom w:val="single" w:sz="4" w:space="0" w:color="auto"/>
              <w:right w:val="single" w:sz="4" w:space="0" w:color="auto"/>
            </w:tcBorders>
            <w:shd w:val="clear" w:color="auto" w:fill="auto"/>
          </w:tcPr>
          <w:p w:rsidR="00D429D5" w:rsidRPr="00D429D5" w:rsidRDefault="00D429D5" w:rsidP="00D429D5">
            <w:pPr>
              <w:jc w:val="right"/>
              <w:rPr>
                <w:rFonts w:ascii="Arial" w:hAnsi="Arial" w:cs="Arial"/>
                <w:sz w:val="17"/>
                <w:szCs w:val="17"/>
              </w:rPr>
            </w:pPr>
            <w:r w:rsidRPr="00D429D5">
              <w:rPr>
                <w:rFonts w:ascii="Arial" w:hAnsi="Arial" w:cs="Arial"/>
                <w:sz w:val="17"/>
                <w:szCs w:val="17"/>
              </w:rPr>
              <w:t>561,978</w:t>
            </w:r>
          </w:p>
        </w:tc>
        <w:tc>
          <w:tcPr>
            <w:tcW w:w="2148" w:type="dxa"/>
            <w:tcBorders>
              <w:top w:val="nil"/>
              <w:left w:val="single" w:sz="4" w:space="0" w:color="auto"/>
              <w:bottom w:val="single" w:sz="4" w:space="0" w:color="auto"/>
              <w:right w:val="single" w:sz="4" w:space="0" w:color="auto"/>
            </w:tcBorders>
            <w:shd w:val="clear" w:color="auto" w:fill="auto"/>
          </w:tcPr>
          <w:p w:rsidR="00D429D5" w:rsidRPr="00D429D5" w:rsidRDefault="00D429D5" w:rsidP="00D429D5">
            <w:pPr>
              <w:jc w:val="right"/>
              <w:rPr>
                <w:rFonts w:ascii="Arial" w:hAnsi="Arial" w:cs="Arial"/>
                <w:sz w:val="17"/>
                <w:szCs w:val="17"/>
              </w:rPr>
            </w:pPr>
            <w:r w:rsidRPr="00D429D5">
              <w:rPr>
                <w:rFonts w:ascii="Arial" w:hAnsi="Arial" w:cs="Arial"/>
                <w:sz w:val="17"/>
                <w:szCs w:val="17"/>
              </w:rPr>
              <w:t>305,334</w:t>
            </w:r>
          </w:p>
        </w:tc>
      </w:tr>
      <w:tr w:rsidR="00D429D5" w:rsidRPr="002D70DA" w:rsidTr="00D429D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D429D5" w:rsidRPr="0055148B" w:rsidRDefault="00D429D5" w:rsidP="00D429D5">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D429D5" w:rsidRPr="00D429D5" w:rsidRDefault="00D429D5" w:rsidP="00D429D5">
            <w:pPr>
              <w:jc w:val="right"/>
              <w:rPr>
                <w:rFonts w:ascii="Arial" w:hAnsi="Arial" w:cs="Arial"/>
                <w:sz w:val="17"/>
                <w:szCs w:val="17"/>
              </w:rPr>
            </w:pPr>
            <w:r w:rsidRPr="00D429D5">
              <w:rPr>
                <w:rFonts w:ascii="Arial" w:hAnsi="Arial" w:cs="Arial"/>
                <w:sz w:val="17"/>
                <w:szCs w:val="17"/>
              </w:rPr>
              <w:t>13,610</w:t>
            </w:r>
          </w:p>
        </w:tc>
        <w:tc>
          <w:tcPr>
            <w:tcW w:w="2148" w:type="dxa"/>
            <w:tcBorders>
              <w:top w:val="nil"/>
              <w:left w:val="single" w:sz="4" w:space="0" w:color="auto"/>
              <w:bottom w:val="single" w:sz="4" w:space="0" w:color="auto"/>
              <w:right w:val="single" w:sz="4" w:space="0" w:color="auto"/>
            </w:tcBorders>
            <w:shd w:val="clear" w:color="auto" w:fill="auto"/>
          </w:tcPr>
          <w:p w:rsidR="00D429D5" w:rsidRPr="00D429D5" w:rsidRDefault="00D429D5" w:rsidP="00D429D5">
            <w:pPr>
              <w:jc w:val="right"/>
              <w:rPr>
                <w:rFonts w:ascii="Arial" w:hAnsi="Arial" w:cs="Arial"/>
                <w:sz w:val="17"/>
                <w:szCs w:val="17"/>
              </w:rPr>
            </w:pPr>
            <w:r w:rsidRPr="00D429D5">
              <w:rPr>
                <w:rFonts w:ascii="Arial" w:hAnsi="Arial" w:cs="Arial"/>
                <w:sz w:val="17"/>
                <w:szCs w:val="17"/>
              </w:rPr>
              <w:t>2,773,314</w:t>
            </w:r>
          </w:p>
        </w:tc>
      </w:tr>
      <w:tr w:rsidR="00D429D5" w:rsidRPr="002D70DA" w:rsidTr="00D429D5">
        <w:trPr>
          <w:trHeight w:val="240"/>
          <w:jc w:val="center"/>
        </w:trPr>
        <w:tc>
          <w:tcPr>
            <w:tcW w:w="4743" w:type="dxa"/>
            <w:tcBorders>
              <w:top w:val="single" w:sz="4" w:space="0" w:color="auto"/>
              <w:right w:val="single" w:sz="4" w:space="0" w:color="auto"/>
            </w:tcBorders>
            <w:shd w:val="clear" w:color="auto" w:fill="auto"/>
            <w:vAlign w:val="center"/>
          </w:tcPr>
          <w:p w:rsidR="00D429D5" w:rsidRPr="00F93CE5" w:rsidRDefault="00D429D5" w:rsidP="00D429D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D429D5" w:rsidRPr="00D429D5" w:rsidRDefault="00D429D5" w:rsidP="00D429D5">
            <w:pPr>
              <w:jc w:val="right"/>
              <w:rPr>
                <w:rFonts w:ascii="Arial" w:hAnsi="Arial" w:cs="Arial"/>
                <w:b/>
                <w:sz w:val="17"/>
                <w:szCs w:val="17"/>
              </w:rPr>
            </w:pPr>
            <w:r w:rsidRPr="00D429D5">
              <w:rPr>
                <w:rFonts w:ascii="Arial" w:hAnsi="Arial" w:cs="Arial"/>
                <w:b/>
                <w:sz w:val="17"/>
                <w:szCs w:val="17"/>
              </w:rPr>
              <w:t>575,588</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D429D5" w:rsidRPr="00D429D5" w:rsidRDefault="00D429D5" w:rsidP="00D429D5">
            <w:pPr>
              <w:jc w:val="right"/>
              <w:rPr>
                <w:rFonts w:ascii="Arial" w:hAnsi="Arial" w:cs="Arial"/>
                <w:b/>
                <w:sz w:val="17"/>
                <w:szCs w:val="17"/>
              </w:rPr>
            </w:pPr>
            <w:r w:rsidRPr="00D429D5">
              <w:rPr>
                <w:rFonts w:ascii="Arial" w:hAnsi="Arial" w:cs="Arial"/>
                <w:b/>
                <w:sz w:val="17"/>
                <w:szCs w:val="17"/>
              </w:rPr>
              <w:t>6,556,490</w:t>
            </w:r>
          </w:p>
        </w:tc>
      </w:tr>
    </w:tbl>
    <w:p w:rsidR="00B4359F" w:rsidRDefault="00B4359F">
      <w:pPr>
        <w:rPr>
          <w:rFonts w:ascii="Arial" w:eastAsia="Calibri" w:hAnsi="Arial" w:cs="Arial"/>
          <w:spacing w:val="-1"/>
          <w:sz w:val="17"/>
          <w:szCs w:val="17"/>
        </w:rPr>
      </w:pPr>
    </w:p>
    <w:p w:rsidR="0022168C" w:rsidRDefault="0022168C">
      <w:pPr>
        <w:rPr>
          <w:rFonts w:ascii="Arial" w:eastAsia="Calibri" w:hAnsi="Arial" w:cs="Arial"/>
          <w:spacing w:val="-1"/>
          <w:sz w:val="17"/>
          <w:szCs w:val="17"/>
        </w:rPr>
      </w:pPr>
      <w:r>
        <w:rPr>
          <w:rFonts w:ascii="Arial" w:eastAsia="Calibri" w:hAnsi="Arial" w:cs="Arial"/>
          <w:spacing w:val="-1"/>
          <w:sz w:val="17"/>
          <w:szCs w:val="17"/>
        </w:rPr>
        <w:br w:type="page"/>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73C7B" w:rsidRPr="002D70DA" w:rsidTr="002A3B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3C7B" w:rsidRPr="002D70DA" w:rsidRDefault="00473C7B"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2A3B60" w:rsidRPr="002D70DA" w:rsidTr="002A3B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3B60" w:rsidRPr="002A3B60" w:rsidRDefault="002A3B60" w:rsidP="002A3B60">
            <w:pPr>
              <w:rPr>
                <w:rFonts w:ascii="Arial" w:hAnsi="Arial" w:cs="Arial"/>
                <w:sz w:val="17"/>
                <w:szCs w:val="17"/>
              </w:rPr>
            </w:pPr>
            <w:r w:rsidRPr="002A3B60">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2A3B60" w:rsidRPr="002A3B60" w:rsidRDefault="002A3B60" w:rsidP="002A3B60">
            <w:pPr>
              <w:jc w:val="right"/>
              <w:rPr>
                <w:rFonts w:ascii="Arial" w:hAnsi="Arial" w:cs="Arial"/>
                <w:sz w:val="17"/>
                <w:szCs w:val="17"/>
              </w:rPr>
            </w:pPr>
            <w:r w:rsidRPr="002A3B60">
              <w:rPr>
                <w:rFonts w:ascii="Arial" w:hAnsi="Arial" w:cs="Arial"/>
                <w:sz w:val="17"/>
                <w:szCs w:val="17"/>
              </w:rPr>
              <w:t xml:space="preserve">561,978 </w:t>
            </w:r>
          </w:p>
        </w:tc>
        <w:tc>
          <w:tcPr>
            <w:tcW w:w="2180" w:type="dxa"/>
            <w:tcBorders>
              <w:top w:val="single" w:sz="4" w:space="0" w:color="auto"/>
              <w:left w:val="nil"/>
              <w:bottom w:val="single" w:sz="4" w:space="0" w:color="auto"/>
              <w:right w:val="single" w:sz="4" w:space="0" w:color="auto"/>
            </w:tcBorders>
            <w:shd w:val="clear" w:color="auto" w:fill="auto"/>
          </w:tcPr>
          <w:p w:rsidR="002A3B60" w:rsidRPr="002A3B60" w:rsidRDefault="002A3B60" w:rsidP="002A3B60">
            <w:pPr>
              <w:jc w:val="right"/>
              <w:rPr>
                <w:rFonts w:ascii="Arial" w:hAnsi="Arial" w:cs="Arial"/>
                <w:sz w:val="17"/>
                <w:szCs w:val="17"/>
              </w:rPr>
            </w:pPr>
            <w:r w:rsidRPr="002A3B60">
              <w:rPr>
                <w:rFonts w:ascii="Arial" w:hAnsi="Arial" w:cs="Arial"/>
                <w:sz w:val="17"/>
                <w:szCs w:val="17"/>
              </w:rPr>
              <w:t xml:space="preserve">3,053,373 </w:t>
            </w:r>
          </w:p>
        </w:tc>
      </w:tr>
      <w:tr w:rsidR="002A3B60" w:rsidRPr="002D70DA" w:rsidTr="002A3B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3B60" w:rsidRPr="002A3B60" w:rsidRDefault="002A3B60" w:rsidP="002A3B60">
            <w:pPr>
              <w:rPr>
                <w:rFonts w:ascii="Arial" w:hAnsi="Arial" w:cs="Arial"/>
                <w:sz w:val="17"/>
                <w:szCs w:val="17"/>
              </w:rPr>
            </w:pPr>
            <w:r w:rsidRPr="002A3B60">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2A3B60" w:rsidRPr="002A3B60" w:rsidRDefault="002A3B60" w:rsidP="002A3B60">
            <w:pPr>
              <w:jc w:val="right"/>
              <w:rPr>
                <w:rFonts w:ascii="Arial" w:hAnsi="Arial" w:cs="Arial"/>
                <w:sz w:val="17"/>
                <w:szCs w:val="17"/>
              </w:rPr>
            </w:pPr>
            <w:r w:rsidRPr="002A3B60">
              <w:rPr>
                <w:rFonts w:ascii="Arial" w:hAnsi="Arial" w:cs="Arial"/>
                <w:sz w:val="17"/>
                <w:szCs w:val="17"/>
              </w:rPr>
              <w:t xml:space="preserve">13,610 </w:t>
            </w:r>
          </w:p>
        </w:tc>
        <w:tc>
          <w:tcPr>
            <w:tcW w:w="2180" w:type="dxa"/>
            <w:tcBorders>
              <w:top w:val="single" w:sz="4" w:space="0" w:color="auto"/>
              <w:left w:val="nil"/>
              <w:bottom w:val="single" w:sz="4" w:space="0" w:color="auto"/>
              <w:right w:val="single" w:sz="4" w:space="0" w:color="auto"/>
            </w:tcBorders>
            <w:shd w:val="clear" w:color="auto" w:fill="auto"/>
          </w:tcPr>
          <w:p w:rsidR="002A3B60" w:rsidRPr="002A3B60" w:rsidRDefault="002A3B60" w:rsidP="002A3B60">
            <w:pPr>
              <w:jc w:val="right"/>
              <w:rPr>
                <w:rFonts w:ascii="Arial" w:hAnsi="Arial" w:cs="Arial"/>
                <w:sz w:val="17"/>
                <w:szCs w:val="17"/>
              </w:rPr>
            </w:pPr>
            <w:r w:rsidRPr="002A3B60">
              <w:rPr>
                <w:rFonts w:ascii="Arial" w:hAnsi="Arial" w:cs="Arial"/>
                <w:sz w:val="17"/>
                <w:szCs w:val="17"/>
              </w:rPr>
              <w:t xml:space="preserve">3,503,117 </w:t>
            </w:r>
          </w:p>
        </w:tc>
      </w:tr>
      <w:tr w:rsidR="002A3B60" w:rsidRPr="002D70DA" w:rsidTr="002A3B60">
        <w:trPr>
          <w:trHeight w:val="240"/>
          <w:jc w:val="center"/>
        </w:trPr>
        <w:tc>
          <w:tcPr>
            <w:tcW w:w="4900" w:type="dxa"/>
            <w:tcBorders>
              <w:top w:val="nil"/>
              <w:left w:val="nil"/>
              <w:bottom w:val="nil"/>
              <w:right w:val="single" w:sz="4" w:space="0" w:color="auto"/>
            </w:tcBorders>
            <w:shd w:val="clear" w:color="000000" w:fill="FFFFFF"/>
            <w:vAlign w:val="center"/>
            <w:hideMark/>
          </w:tcPr>
          <w:p w:rsidR="002A3B60" w:rsidRPr="002D70DA" w:rsidRDefault="002A3B60" w:rsidP="002A3B6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A3B60" w:rsidRPr="002A3B60" w:rsidRDefault="002A3B60" w:rsidP="002A3B60">
            <w:pPr>
              <w:jc w:val="right"/>
              <w:rPr>
                <w:rFonts w:ascii="Arial" w:hAnsi="Arial" w:cs="Arial"/>
                <w:b/>
                <w:sz w:val="17"/>
                <w:szCs w:val="17"/>
              </w:rPr>
            </w:pPr>
            <w:r w:rsidRPr="002A3B60">
              <w:rPr>
                <w:rFonts w:ascii="Arial" w:hAnsi="Arial" w:cs="Arial"/>
                <w:b/>
                <w:sz w:val="17"/>
                <w:szCs w:val="17"/>
              </w:rPr>
              <w:t xml:space="preserve">575,588 </w:t>
            </w:r>
          </w:p>
        </w:tc>
        <w:tc>
          <w:tcPr>
            <w:tcW w:w="2180" w:type="dxa"/>
            <w:tcBorders>
              <w:top w:val="nil"/>
              <w:left w:val="single" w:sz="4" w:space="0" w:color="auto"/>
              <w:bottom w:val="single" w:sz="4" w:space="0" w:color="auto"/>
              <w:right w:val="single" w:sz="4" w:space="0" w:color="auto"/>
            </w:tcBorders>
            <w:shd w:val="clear" w:color="000000" w:fill="FFFFFF"/>
          </w:tcPr>
          <w:p w:rsidR="002A3B60" w:rsidRPr="002A3B60" w:rsidRDefault="002A3B60" w:rsidP="002A3B60">
            <w:pPr>
              <w:jc w:val="right"/>
              <w:rPr>
                <w:rFonts w:ascii="Arial" w:hAnsi="Arial" w:cs="Arial"/>
                <w:b/>
                <w:sz w:val="17"/>
                <w:szCs w:val="17"/>
              </w:rPr>
            </w:pPr>
            <w:r w:rsidRPr="002A3B60">
              <w:rPr>
                <w:rFonts w:ascii="Arial" w:hAnsi="Arial" w:cs="Arial"/>
                <w:b/>
                <w:sz w:val="17"/>
                <w:szCs w:val="17"/>
              </w:rPr>
              <w:t xml:space="preserve">6,556,490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DB0AD8">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2018</w:t>
            </w:r>
          </w:p>
        </w:tc>
      </w:tr>
      <w:tr w:rsidR="00DB0AD8" w:rsidRPr="00882163" w:rsidTr="00DB0AD8">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B0AD8" w:rsidRPr="001E79D9" w:rsidRDefault="00DB0AD8" w:rsidP="00DB0AD8">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2,484,523,487</w:t>
            </w:r>
          </w:p>
        </w:tc>
        <w:tc>
          <w:tcPr>
            <w:tcW w:w="2180" w:type="dxa"/>
            <w:tcBorders>
              <w:top w:val="single" w:sz="4" w:space="0" w:color="auto"/>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2,263,430,638</w:t>
            </w:r>
          </w:p>
        </w:tc>
      </w:tr>
      <w:tr w:rsidR="00DB0AD8" w:rsidTr="00DB0AD8">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15343C" w:rsidRDefault="00DB0AD8" w:rsidP="00DB0AD8">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679,926,071</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624,266,755</w:t>
            </w:r>
          </w:p>
        </w:tc>
      </w:tr>
      <w:tr w:rsidR="00DB0AD8" w:rsidTr="00DB0AD8">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15343C" w:rsidRDefault="00DB0AD8" w:rsidP="00DB0AD8">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163,183,192</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128,187,336</w:t>
            </w:r>
          </w:p>
        </w:tc>
      </w:tr>
      <w:tr w:rsidR="00DB0AD8" w:rsidTr="00DB0AD8">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15343C" w:rsidRDefault="00DB0AD8" w:rsidP="00DB0AD8">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1,641,414,225</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1,510,976,547</w:t>
            </w:r>
          </w:p>
        </w:tc>
      </w:tr>
      <w:tr w:rsidR="00DB0AD8" w:rsidTr="00DB0AD8">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69430E" w:rsidRDefault="00DB0AD8" w:rsidP="00DB0AD8">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89,667,320</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175,379,838</w:t>
            </w:r>
          </w:p>
        </w:tc>
      </w:tr>
      <w:tr w:rsidR="00DB0AD8" w:rsidTr="00DB0AD8">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69430E" w:rsidRDefault="00DB0AD8" w:rsidP="00DB0AD8">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381,205,529</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315,436,182</w:t>
            </w:r>
          </w:p>
        </w:tc>
      </w:tr>
      <w:tr w:rsidR="00DB0AD8" w:rsidTr="00DB0AD8">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69430E" w:rsidRDefault="00DB0AD8" w:rsidP="00DB0AD8">
            <w:pPr>
              <w:rPr>
                <w:rFonts w:ascii="Arial" w:hAnsi="Arial" w:cs="Arial"/>
                <w:b/>
                <w:sz w:val="17"/>
                <w:szCs w:val="17"/>
              </w:rPr>
            </w:pPr>
            <w:r w:rsidRPr="00DB0AD8">
              <w:rPr>
                <w:rFonts w:ascii="Arial" w:hAnsi="Arial" w:cs="Arial"/>
                <w:b/>
                <w:sz w:val="17"/>
                <w:szCs w:val="17"/>
              </w:rPr>
              <w:t>Inversión Pública</w:t>
            </w:r>
            <w:r w:rsidRPr="00DB0AD8">
              <w:rPr>
                <w:rFonts w:ascii="Arial" w:hAnsi="Arial" w:cs="Arial"/>
                <w:b/>
                <w:sz w:val="17"/>
                <w:szCs w:val="17"/>
              </w:rPr>
              <w:tab/>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DB0AD8" w:rsidRPr="00DB0AD8" w:rsidRDefault="00DB0AD8" w:rsidP="00DB0AD8">
            <w:pPr>
              <w:jc w:val="right"/>
              <w:rPr>
                <w:rFonts w:ascii="Arial" w:hAnsi="Arial" w:cs="Arial"/>
                <w:sz w:val="17"/>
                <w:szCs w:val="17"/>
              </w:rPr>
            </w:pPr>
            <w:r w:rsidRPr="00DB0AD8">
              <w:rPr>
                <w:rFonts w:ascii="Arial" w:hAnsi="Arial" w:cs="Arial"/>
                <w:sz w:val="17"/>
                <w:szCs w:val="17"/>
              </w:rPr>
              <w:t>602,371</w:t>
            </w:r>
          </w:p>
        </w:tc>
      </w:tr>
      <w:tr w:rsidR="00DB0AD8" w:rsidRPr="002D70DA" w:rsidTr="00DB0AD8">
        <w:trPr>
          <w:trHeight w:val="240"/>
          <w:jc w:val="center"/>
        </w:trPr>
        <w:tc>
          <w:tcPr>
            <w:tcW w:w="4900" w:type="dxa"/>
            <w:tcBorders>
              <w:top w:val="nil"/>
              <w:left w:val="nil"/>
              <w:bottom w:val="nil"/>
              <w:right w:val="nil"/>
            </w:tcBorders>
            <w:shd w:val="clear" w:color="000000" w:fill="FFFFFF"/>
            <w:vAlign w:val="center"/>
            <w:hideMark/>
          </w:tcPr>
          <w:p w:rsidR="00DB0AD8" w:rsidRPr="002D70DA" w:rsidRDefault="00DB0AD8" w:rsidP="00DB0AD8">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DB0AD8" w:rsidRPr="00DB0AD8" w:rsidRDefault="00DB0AD8" w:rsidP="00DB0AD8">
            <w:pPr>
              <w:jc w:val="right"/>
              <w:rPr>
                <w:rFonts w:ascii="Arial" w:hAnsi="Arial" w:cs="Arial"/>
                <w:b/>
                <w:sz w:val="17"/>
                <w:szCs w:val="17"/>
              </w:rPr>
            </w:pPr>
            <w:r w:rsidRPr="00DB0AD8">
              <w:rPr>
                <w:rFonts w:ascii="Arial" w:hAnsi="Arial" w:cs="Arial"/>
                <w:b/>
                <w:sz w:val="17"/>
                <w:szCs w:val="17"/>
              </w:rPr>
              <w:t>2,955,396,336</w:t>
            </w:r>
          </w:p>
        </w:tc>
        <w:tc>
          <w:tcPr>
            <w:tcW w:w="2180" w:type="dxa"/>
            <w:tcBorders>
              <w:top w:val="single" w:sz="4" w:space="0" w:color="auto"/>
              <w:left w:val="nil"/>
              <w:bottom w:val="single" w:sz="4" w:space="0" w:color="auto"/>
              <w:right w:val="single" w:sz="4" w:space="0" w:color="auto"/>
            </w:tcBorders>
            <w:shd w:val="clear" w:color="000000" w:fill="FFFFFF"/>
            <w:noWrap/>
          </w:tcPr>
          <w:p w:rsidR="00DB0AD8" w:rsidRPr="00DB0AD8" w:rsidRDefault="00DB0AD8" w:rsidP="00DB0AD8">
            <w:pPr>
              <w:jc w:val="right"/>
              <w:rPr>
                <w:rFonts w:ascii="Arial" w:hAnsi="Arial" w:cs="Arial"/>
                <w:b/>
                <w:sz w:val="17"/>
                <w:szCs w:val="17"/>
              </w:rPr>
            </w:pPr>
            <w:r w:rsidRPr="00DB0AD8">
              <w:rPr>
                <w:rFonts w:ascii="Arial" w:hAnsi="Arial" w:cs="Arial"/>
                <w:b/>
                <w:sz w:val="17"/>
                <w:szCs w:val="17"/>
              </w:rPr>
              <w:t>2,754,849,028</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A039E"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39E" w:rsidRPr="002D70DA" w:rsidRDefault="008A039E"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731337"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31337" w:rsidRPr="00731337" w:rsidRDefault="00731337" w:rsidP="00731337">
            <w:pPr>
              <w:rPr>
                <w:rFonts w:ascii="Arial" w:hAnsi="Arial" w:cs="Arial"/>
                <w:sz w:val="17"/>
                <w:szCs w:val="17"/>
              </w:rPr>
            </w:pPr>
            <w:r w:rsidRPr="00731337">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637,110,319 </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585,856,289 </w:t>
            </w:r>
          </w:p>
        </w:tc>
      </w:tr>
      <w:tr w:rsidR="00731337"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31337" w:rsidRPr="00731337" w:rsidRDefault="00731337" w:rsidP="00731337">
            <w:pPr>
              <w:rPr>
                <w:rFonts w:ascii="Arial" w:hAnsi="Arial" w:cs="Arial"/>
                <w:sz w:val="17"/>
                <w:szCs w:val="17"/>
              </w:rPr>
            </w:pPr>
            <w:r w:rsidRPr="00731337">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42,815,752 </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38,410,466 </w:t>
            </w:r>
          </w:p>
        </w:tc>
      </w:tr>
      <w:tr w:rsidR="00731337" w:rsidRPr="002D70DA" w:rsidTr="00731337">
        <w:trPr>
          <w:trHeight w:val="240"/>
          <w:jc w:val="center"/>
        </w:trPr>
        <w:tc>
          <w:tcPr>
            <w:tcW w:w="4900" w:type="dxa"/>
            <w:tcBorders>
              <w:top w:val="nil"/>
              <w:left w:val="nil"/>
              <w:bottom w:val="nil"/>
              <w:right w:val="single" w:sz="4" w:space="0" w:color="auto"/>
            </w:tcBorders>
            <w:shd w:val="clear" w:color="000000" w:fill="FFFFFF"/>
            <w:vAlign w:val="center"/>
            <w:hideMark/>
          </w:tcPr>
          <w:p w:rsidR="00731337" w:rsidRPr="002D70DA" w:rsidRDefault="00731337" w:rsidP="0073133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31337" w:rsidRPr="00731337" w:rsidRDefault="00731337" w:rsidP="00731337">
            <w:pPr>
              <w:jc w:val="right"/>
              <w:rPr>
                <w:rFonts w:ascii="Arial" w:hAnsi="Arial" w:cs="Arial"/>
                <w:b/>
                <w:sz w:val="17"/>
                <w:szCs w:val="17"/>
              </w:rPr>
            </w:pPr>
            <w:r w:rsidRPr="00731337">
              <w:rPr>
                <w:rFonts w:ascii="Arial" w:hAnsi="Arial" w:cs="Arial"/>
                <w:b/>
                <w:sz w:val="17"/>
                <w:szCs w:val="17"/>
              </w:rPr>
              <w:t xml:space="preserve">679,926,071 </w:t>
            </w:r>
          </w:p>
        </w:tc>
        <w:tc>
          <w:tcPr>
            <w:tcW w:w="2180" w:type="dxa"/>
            <w:tcBorders>
              <w:top w:val="nil"/>
              <w:left w:val="single" w:sz="4" w:space="0" w:color="auto"/>
              <w:bottom w:val="single" w:sz="4" w:space="0" w:color="auto"/>
              <w:right w:val="single" w:sz="4" w:space="0" w:color="auto"/>
            </w:tcBorders>
            <w:shd w:val="clear" w:color="000000" w:fill="FFFFFF"/>
          </w:tcPr>
          <w:p w:rsidR="00731337" w:rsidRPr="00731337" w:rsidRDefault="00731337" w:rsidP="00731337">
            <w:pPr>
              <w:jc w:val="right"/>
              <w:rPr>
                <w:rFonts w:ascii="Arial" w:hAnsi="Arial" w:cs="Arial"/>
                <w:b/>
                <w:sz w:val="17"/>
                <w:szCs w:val="17"/>
              </w:rPr>
            </w:pPr>
            <w:r w:rsidRPr="00731337">
              <w:rPr>
                <w:rFonts w:ascii="Arial" w:hAnsi="Arial" w:cs="Arial"/>
                <w:b/>
                <w:sz w:val="17"/>
                <w:szCs w:val="17"/>
              </w:rPr>
              <w:t xml:space="preserve">624,266,755 </w:t>
            </w:r>
          </w:p>
        </w:tc>
      </w:tr>
    </w:tbl>
    <w:p w:rsidR="00B96342" w:rsidRDefault="00B96342" w:rsidP="000337D3">
      <w:pPr>
        <w:autoSpaceDE w:val="0"/>
        <w:autoSpaceDN w:val="0"/>
        <w:adjustRightInd w:val="0"/>
        <w:spacing w:before="240" w:after="120"/>
        <w:ind w:left="709"/>
        <w:rPr>
          <w:rFonts w:ascii="Arial" w:eastAsia="Calibri" w:hAnsi="Arial" w:cs="Arial"/>
          <w:spacing w:val="-1"/>
          <w:sz w:val="17"/>
          <w:szCs w:val="17"/>
        </w:rPr>
      </w:pPr>
    </w:p>
    <w:p w:rsidR="00B96342" w:rsidRDefault="00B96342">
      <w:pPr>
        <w:rPr>
          <w:rFonts w:ascii="Arial" w:eastAsia="Calibri" w:hAnsi="Arial" w:cs="Arial"/>
          <w:spacing w:val="-1"/>
          <w:sz w:val="17"/>
          <w:szCs w:val="17"/>
        </w:rPr>
      </w:pPr>
      <w:r>
        <w:rPr>
          <w:rFonts w:ascii="Arial" w:eastAsia="Calibri" w:hAnsi="Arial" w:cs="Arial"/>
          <w:spacing w:val="-1"/>
          <w:sz w:val="17"/>
          <w:szCs w:val="17"/>
        </w:rPr>
        <w:br w:type="page"/>
      </w: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731337"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31337" w:rsidRPr="00731337" w:rsidRDefault="00731337" w:rsidP="00731337">
            <w:pPr>
              <w:rPr>
                <w:rFonts w:ascii="Arial" w:hAnsi="Arial" w:cs="Arial"/>
                <w:sz w:val="17"/>
                <w:szCs w:val="17"/>
              </w:rPr>
            </w:pPr>
            <w:r w:rsidRPr="00731337">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156,180,668 </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124,147,733 </w:t>
            </w:r>
          </w:p>
        </w:tc>
      </w:tr>
      <w:tr w:rsidR="00731337"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31337" w:rsidRPr="00731337" w:rsidRDefault="00731337" w:rsidP="00731337">
            <w:pPr>
              <w:rPr>
                <w:rFonts w:ascii="Arial" w:hAnsi="Arial" w:cs="Arial"/>
                <w:sz w:val="17"/>
                <w:szCs w:val="17"/>
              </w:rPr>
            </w:pPr>
            <w:r w:rsidRPr="00731337">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7,002,524 </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4,039,603 </w:t>
            </w:r>
          </w:p>
        </w:tc>
      </w:tr>
      <w:tr w:rsidR="00731337" w:rsidRPr="002D70DA" w:rsidTr="00731337">
        <w:trPr>
          <w:trHeight w:val="240"/>
          <w:jc w:val="center"/>
        </w:trPr>
        <w:tc>
          <w:tcPr>
            <w:tcW w:w="4900" w:type="dxa"/>
            <w:tcBorders>
              <w:top w:val="nil"/>
              <w:left w:val="nil"/>
              <w:bottom w:val="nil"/>
              <w:right w:val="single" w:sz="4" w:space="0" w:color="auto"/>
            </w:tcBorders>
            <w:shd w:val="clear" w:color="000000" w:fill="FFFFFF"/>
            <w:vAlign w:val="center"/>
            <w:hideMark/>
          </w:tcPr>
          <w:p w:rsidR="00731337" w:rsidRPr="002D70DA" w:rsidRDefault="00731337" w:rsidP="0073133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31337" w:rsidRPr="00731337" w:rsidRDefault="00731337" w:rsidP="00731337">
            <w:pPr>
              <w:jc w:val="right"/>
              <w:rPr>
                <w:rFonts w:ascii="Arial" w:hAnsi="Arial" w:cs="Arial"/>
                <w:b/>
                <w:sz w:val="17"/>
                <w:szCs w:val="17"/>
              </w:rPr>
            </w:pPr>
            <w:r w:rsidRPr="00731337">
              <w:rPr>
                <w:rFonts w:ascii="Arial" w:hAnsi="Arial" w:cs="Arial"/>
                <w:b/>
                <w:sz w:val="17"/>
                <w:szCs w:val="17"/>
              </w:rPr>
              <w:t xml:space="preserve">163,183,192 </w:t>
            </w:r>
          </w:p>
        </w:tc>
        <w:tc>
          <w:tcPr>
            <w:tcW w:w="2180" w:type="dxa"/>
            <w:tcBorders>
              <w:top w:val="nil"/>
              <w:left w:val="single" w:sz="4" w:space="0" w:color="auto"/>
              <w:bottom w:val="single" w:sz="4" w:space="0" w:color="auto"/>
              <w:right w:val="single" w:sz="4" w:space="0" w:color="auto"/>
            </w:tcBorders>
            <w:shd w:val="clear" w:color="000000" w:fill="FFFFFF"/>
          </w:tcPr>
          <w:p w:rsidR="00731337" w:rsidRPr="00731337" w:rsidRDefault="00731337" w:rsidP="00731337">
            <w:pPr>
              <w:jc w:val="right"/>
              <w:rPr>
                <w:rFonts w:ascii="Arial" w:hAnsi="Arial" w:cs="Arial"/>
                <w:b/>
                <w:sz w:val="17"/>
                <w:szCs w:val="17"/>
              </w:rPr>
            </w:pPr>
            <w:r w:rsidRPr="00731337">
              <w:rPr>
                <w:rFonts w:ascii="Arial" w:hAnsi="Arial" w:cs="Arial"/>
                <w:b/>
                <w:sz w:val="17"/>
                <w:szCs w:val="17"/>
              </w:rPr>
              <w:t xml:space="preserve">128,187,336 </w:t>
            </w:r>
          </w:p>
        </w:tc>
      </w:tr>
    </w:tbl>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731337"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31337" w:rsidRPr="00731337" w:rsidRDefault="00731337" w:rsidP="00731337">
            <w:pPr>
              <w:rPr>
                <w:rFonts w:ascii="Arial" w:hAnsi="Arial" w:cs="Arial"/>
                <w:sz w:val="17"/>
                <w:szCs w:val="17"/>
              </w:rPr>
            </w:pPr>
            <w:r w:rsidRPr="00731337">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1,466,495,642 </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1,417,758,339 </w:t>
            </w:r>
          </w:p>
        </w:tc>
      </w:tr>
      <w:tr w:rsidR="00731337" w:rsidRPr="002D70DA" w:rsidTr="0073133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31337" w:rsidRPr="00731337" w:rsidRDefault="00731337" w:rsidP="00731337">
            <w:pPr>
              <w:rPr>
                <w:rFonts w:ascii="Arial" w:hAnsi="Arial" w:cs="Arial"/>
                <w:sz w:val="17"/>
                <w:szCs w:val="17"/>
              </w:rPr>
            </w:pPr>
            <w:r w:rsidRPr="00731337">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174,918,583 </w:t>
            </w:r>
          </w:p>
        </w:tc>
        <w:tc>
          <w:tcPr>
            <w:tcW w:w="2180" w:type="dxa"/>
            <w:tcBorders>
              <w:top w:val="single" w:sz="4" w:space="0" w:color="auto"/>
              <w:left w:val="nil"/>
              <w:bottom w:val="single" w:sz="4" w:space="0" w:color="auto"/>
              <w:right w:val="single" w:sz="4" w:space="0" w:color="auto"/>
            </w:tcBorders>
            <w:shd w:val="clear" w:color="auto" w:fill="auto"/>
          </w:tcPr>
          <w:p w:rsidR="00731337" w:rsidRPr="00731337" w:rsidRDefault="00731337" w:rsidP="00731337">
            <w:pPr>
              <w:jc w:val="right"/>
              <w:rPr>
                <w:rFonts w:ascii="Arial" w:hAnsi="Arial" w:cs="Arial"/>
                <w:sz w:val="17"/>
                <w:szCs w:val="17"/>
              </w:rPr>
            </w:pPr>
            <w:r w:rsidRPr="00731337">
              <w:rPr>
                <w:rFonts w:ascii="Arial" w:hAnsi="Arial" w:cs="Arial"/>
                <w:sz w:val="17"/>
                <w:szCs w:val="17"/>
              </w:rPr>
              <w:t xml:space="preserve">93,218,208 </w:t>
            </w:r>
          </w:p>
        </w:tc>
      </w:tr>
      <w:tr w:rsidR="00731337" w:rsidRPr="002D70DA" w:rsidTr="00731337">
        <w:trPr>
          <w:trHeight w:val="240"/>
          <w:jc w:val="center"/>
        </w:trPr>
        <w:tc>
          <w:tcPr>
            <w:tcW w:w="4900" w:type="dxa"/>
            <w:tcBorders>
              <w:top w:val="nil"/>
              <w:left w:val="nil"/>
              <w:bottom w:val="nil"/>
              <w:right w:val="single" w:sz="4" w:space="0" w:color="auto"/>
            </w:tcBorders>
            <w:shd w:val="clear" w:color="000000" w:fill="FFFFFF"/>
            <w:vAlign w:val="center"/>
            <w:hideMark/>
          </w:tcPr>
          <w:p w:rsidR="00731337" w:rsidRPr="002D70DA" w:rsidRDefault="00731337" w:rsidP="0073133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31337" w:rsidRPr="00731337" w:rsidRDefault="00731337" w:rsidP="00731337">
            <w:pPr>
              <w:jc w:val="right"/>
              <w:rPr>
                <w:rFonts w:ascii="Arial" w:hAnsi="Arial" w:cs="Arial"/>
                <w:b/>
                <w:sz w:val="17"/>
                <w:szCs w:val="17"/>
              </w:rPr>
            </w:pPr>
            <w:r w:rsidRPr="00731337">
              <w:rPr>
                <w:rFonts w:ascii="Arial" w:hAnsi="Arial" w:cs="Arial"/>
                <w:b/>
                <w:sz w:val="17"/>
                <w:szCs w:val="17"/>
              </w:rPr>
              <w:t xml:space="preserve">1,641,414,225 </w:t>
            </w:r>
          </w:p>
        </w:tc>
        <w:tc>
          <w:tcPr>
            <w:tcW w:w="2180" w:type="dxa"/>
            <w:tcBorders>
              <w:top w:val="nil"/>
              <w:left w:val="single" w:sz="4" w:space="0" w:color="auto"/>
              <w:bottom w:val="single" w:sz="4" w:space="0" w:color="auto"/>
              <w:right w:val="single" w:sz="4" w:space="0" w:color="auto"/>
            </w:tcBorders>
            <w:shd w:val="clear" w:color="000000" w:fill="FFFFFF"/>
          </w:tcPr>
          <w:p w:rsidR="00731337" w:rsidRPr="00731337" w:rsidRDefault="00731337" w:rsidP="00731337">
            <w:pPr>
              <w:jc w:val="right"/>
              <w:rPr>
                <w:rFonts w:ascii="Arial" w:hAnsi="Arial" w:cs="Arial"/>
                <w:b/>
                <w:sz w:val="17"/>
                <w:szCs w:val="17"/>
              </w:rPr>
            </w:pPr>
            <w:r w:rsidRPr="00731337">
              <w:rPr>
                <w:rFonts w:ascii="Arial" w:hAnsi="Arial" w:cs="Arial"/>
                <w:b/>
                <w:sz w:val="17"/>
                <w:szCs w:val="17"/>
              </w:rPr>
              <w:t xml:space="preserve">1,510,976,547 </w:t>
            </w:r>
          </w:p>
        </w:tc>
      </w:tr>
    </w:tbl>
    <w:p w:rsidR="00421629" w:rsidRDefault="00421629" w:rsidP="0058361C">
      <w:pPr>
        <w:autoSpaceDE w:val="0"/>
        <w:autoSpaceDN w:val="0"/>
        <w:adjustRightInd w:val="0"/>
        <w:spacing w:before="240" w:after="120"/>
        <w:ind w:left="709"/>
        <w:rPr>
          <w:rFonts w:ascii="Arial" w:eastAsia="Calibri" w:hAnsi="Arial" w:cs="Arial"/>
          <w:spacing w:val="-1"/>
          <w:sz w:val="17"/>
          <w:szCs w:val="17"/>
        </w:rPr>
      </w:pP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D0A76" w:rsidRPr="002D70DA" w:rsidTr="008A6F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0A76" w:rsidRPr="002D70DA" w:rsidRDefault="005D0A76"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8A6FB6" w:rsidRPr="002D70DA" w:rsidTr="008A6F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6FB6" w:rsidRPr="008A6FB6" w:rsidRDefault="008A6FB6" w:rsidP="008A6FB6">
            <w:pPr>
              <w:rPr>
                <w:rFonts w:ascii="Arial" w:hAnsi="Arial" w:cs="Arial"/>
                <w:sz w:val="17"/>
                <w:szCs w:val="17"/>
              </w:rPr>
            </w:pPr>
            <w:r w:rsidRPr="008A6FB6">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8A6FB6" w:rsidRPr="008A6FB6" w:rsidRDefault="008A6FB6" w:rsidP="008A6FB6">
            <w:pPr>
              <w:jc w:val="right"/>
              <w:rPr>
                <w:rFonts w:ascii="Arial" w:hAnsi="Arial" w:cs="Arial"/>
                <w:sz w:val="17"/>
                <w:szCs w:val="17"/>
              </w:rPr>
            </w:pPr>
            <w:r w:rsidRPr="008A6FB6">
              <w:rPr>
                <w:rFonts w:ascii="Arial" w:hAnsi="Arial" w:cs="Arial"/>
                <w:sz w:val="17"/>
                <w:szCs w:val="17"/>
              </w:rPr>
              <w:t xml:space="preserve">88,867,320 </w:t>
            </w:r>
          </w:p>
        </w:tc>
        <w:tc>
          <w:tcPr>
            <w:tcW w:w="2180" w:type="dxa"/>
            <w:tcBorders>
              <w:top w:val="single" w:sz="4" w:space="0" w:color="auto"/>
              <w:left w:val="nil"/>
              <w:bottom w:val="single" w:sz="4" w:space="0" w:color="auto"/>
              <w:right w:val="single" w:sz="4" w:space="0" w:color="auto"/>
            </w:tcBorders>
            <w:shd w:val="clear" w:color="auto" w:fill="auto"/>
          </w:tcPr>
          <w:p w:rsidR="008A6FB6" w:rsidRPr="008A6FB6" w:rsidRDefault="008A6FB6" w:rsidP="008A6FB6">
            <w:pPr>
              <w:jc w:val="right"/>
              <w:rPr>
                <w:rFonts w:ascii="Arial" w:hAnsi="Arial" w:cs="Arial"/>
                <w:sz w:val="17"/>
                <w:szCs w:val="17"/>
              </w:rPr>
            </w:pPr>
            <w:r w:rsidRPr="008A6FB6">
              <w:rPr>
                <w:rFonts w:ascii="Arial" w:hAnsi="Arial" w:cs="Arial"/>
                <w:sz w:val="17"/>
                <w:szCs w:val="17"/>
              </w:rPr>
              <w:t xml:space="preserve">175,379,838 </w:t>
            </w:r>
          </w:p>
        </w:tc>
      </w:tr>
      <w:tr w:rsidR="008A6FB6" w:rsidRPr="002D70DA" w:rsidTr="008A6F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6FB6" w:rsidRPr="008A6FB6" w:rsidRDefault="008A6FB6" w:rsidP="008A6FB6">
            <w:pPr>
              <w:rPr>
                <w:rFonts w:ascii="Arial" w:hAnsi="Arial" w:cs="Arial"/>
                <w:sz w:val="17"/>
                <w:szCs w:val="17"/>
              </w:rPr>
            </w:pPr>
            <w:r w:rsidRPr="008A6FB6">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8A6FB6" w:rsidRPr="008A6FB6" w:rsidRDefault="008A6FB6" w:rsidP="008A6FB6">
            <w:pPr>
              <w:jc w:val="right"/>
              <w:rPr>
                <w:rFonts w:ascii="Arial" w:hAnsi="Arial" w:cs="Arial"/>
                <w:sz w:val="17"/>
                <w:szCs w:val="17"/>
              </w:rPr>
            </w:pPr>
            <w:r w:rsidRPr="008A6FB6">
              <w:rPr>
                <w:rFonts w:ascii="Arial" w:hAnsi="Arial" w:cs="Arial"/>
                <w:sz w:val="17"/>
                <w:szCs w:val="17"/>
              </w:rPr>
              <w:t xml:space="preserve">800,000 </w:t>
            </w:r>
          </w:p>
        </w:tc>
        <w:tc>
          <w:tcPr>
            <w:tcW w:w="2180" w:type="dxa"/>
            <w:tcBorders>
              <w:top w:val="single" w:sz="4" w:space="0" w:color="auto"/>
              <w:left w:val="nil"/>
              <w:bottom w:val="single" w:sz="4" w:space="0" w:color="auto"/>
              <w:right w:val="single" w:sz="4" w:space="0" w:color="auto"/>
            </w:tcBorders>
            <w:shd w:val="clear" w:color="auto" w:fill="auto"/>
          </w:tcPr>
          <w:p w:rsidR="008A6FB6" w:rsidRPr="008A6FB6" w:rsidRDefault="008A6FB6" w:rsidP="008A6FB6">
            <w:pPr>
              <w:jc w:val="right"/>
              <w:rPr>
                <w:rFonts w:ascii="Arial" w:hAnsi="Arial" w:cs="Arial"/>
                <w:sz w:val="17"/>
                <w:szCs w:val="17"/>
              </w:rPr>
            </w:pPr>
            <w:r w:rsidRPr="008A6FB6">
              <w:rPr>
                <w:rFonts w:ascii="Arial" w:hAnsi="Arial" w:cs="Arial"/>
                <w:sz w:val="17"/>
                <w:szCs w:val="17"/>
              </w:rPr>
              <w:t xml:space="preserve">0 </w:t>
            </w:r>
          </w:p>
        </w:tc>
      </w:tr>
      <w:tr w:rsidR="008A6FB6" w:rsidRPr="002D70DA" w:rsidTr="008A6FB6">
        <w:trPr>
          <w:trHeight w:val="240"/>
          <w:jc w:val="center"/>
        </w:trPr>
        <w:tc>
          <w:tcPr>
            <w:tcW w:w="4900" w:type="dxa"/>
            <w:tcBorders>
              <w:top w:val="nil"/>
              <w:left w:val="nil"/>
              <w:bottom w:val="nil"/>
              <w:right w:val="single" w:sz="4" w:space="0" w:color="auto"/>
            </w:tcBorders>
            <w:shd w:val="clear" w:color="000000" w:fill="FFFFFF"/>
            <w:vAlign w:val="center"/>
            <w:hideMark/>
          </w:tcPr>
          <w:p w:rsidR="008A6FB6" w:rsidRPr="002D70DA" w:rsidRDefault="008A6FB6" w:rsidP="008A6FB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A6FB6" w:rsidRPr="008A6FB6" w:rsidRDefault="008A6FB6" w:rsidP="008A6FB6">
            <w:pPr>
              <w:jc w:val="right"/>
              <w:rPr>
                <w:rFonts w:ascii="Arial" w:hAnsi="Arial" w:cs="Arial"/>
                <w:b/>
                <w:sz w:val="17"/>
                <w:szCs w:val="17"/>
              </w:rPr>
            </w:pPr>
            <w:r w:rsidRPr="008A6FB6">
              <w:rPr>
                <w:rFonts w:ascii="Arial" w:hAnsi="Arial" w:cs="Arial"/>
                <w:b/>
                <w:sz w:val="17"/>
                <w:szCs w:val="17"/>
              </w:rPr>
              <w:t xml:space="preserve">89,667,320 </w:t>
            </w:r>
          </w:p>
        </w:tc>
        <w:tc>
          <w:tcPr>
            <w:tcW w:w="2180" w:type="dxa"/>
            <w:tcBorders>
              <w:top w:val="nil"/>
              <w:left w:val="single" w:sz="4" w:space="0" w:color="auto"/>
              <w:bottom w:val="single" w:sz="4" w:space="0" w:color="auto"/>
              <w:right w:val="single" w:sz="4" w:space="0" w:color="auto"/>
            </w:tcBorders>
            <w:shd w:val="clear" w:color="000000" w:fill="FFFFFF"/>
          </w:tcPr>
          <w:p w:rsidR="008A6FB6" w:rsidRPr="008A6FB6" w:rsidRDefault="008A6FB6" w:rsidP="008A6FB6">
            <w:pPr>
              <w:jc w:val="right"/>
              <w:rPr>
                <w:rFonts w:ascii="Arial" w:hAnsi="Arial" w:cs="Arial"/>
                <w:b/>
                <w:sz w:val="17"/>
                <w:szCs w:val="17"/>
              </w:rPr>
            </w:pPr>
            <w:r w:rsidRPr="008A6FB6">
              <w:rPr>
                <w:rFonts w:ascii="Arial" w:hAnsi="Arial" w:cs="Arial"/>
                <w:b/>
                <w:sz w:val="17"/>
                <w:szCs w:val="17"/>
              </w:rPr>
              <w:t xml:space="preserve">175,379,838 </w:t>
            </w:r>
          </w:p>
        </w:tc>
      </w:tr>
    </w:tbl>
    <w:p w:rsidR="00245E5E" w:rsidRDefault="00245E5E">
      <w:pPr>
        <w:rPr>
          <w:rFonts w:ascii="Arial" w:eastAsia="Calibri" w:hAnsi="Arial" w:cs="Arial"/>
          <w:spacing w:val="-1"/>
          <w:sz w:val="17"/>
          <w:szCs w:val="17"/>
        </w:rPr>
      </w:pP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637C5" w:rsidRPr="002D70DA" w:rsidTr="00370E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37C5" w:rsidRPr="002D70DA" w:rsidRDefault="006637C5"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370EFF" w:rsidRPr="002D70DA" w:rsidTr="00370E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0EFF" w:rsidRPr="00370EFF" w:rsidRDefault="00370EFF" w:rsidP="00370EFF">
            <w:pPr>
              <w:rPr>
                <w:rFonts w:ascii="Arial" w:hAnsi="Arial" w:cs="Arial"/>
                <w:sz w:val="17"/>
                <w:szCs w:val="17"/>
              </w:rPr>
            </w:pPr>
            <w:r w:rsidRPr="00370EF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370EFF" w:rsidRPr="00370EFF" w:rsidRDefault="00370EFF" w:rsidP="00370EFF">
            <w:pPr>
              <w:jc w:val="right"/>
              <w:rPr>
                <w:rFonts w:ascii="Arial" w:hAnsi="Arial" w:cs="Arial"/>
                <w:sz w:val="17"/>
                <w:szCs w:val="17"/>
              </w:rPr>
            </w:pPr>
            <w:r w:rsidRPr="00370EFF">
              <w:rPr>
                <w:rFonts w:ascii="Arial" w:hAnsi="Arial" w:cs="Arial"/>
                <w:sz w:val="17"/>
                <w:szCs w:val="17"/>
              </w:rPr>
              <w:t xml:space="preserve">308,710,282 </w:t>
            </w:r>
          </w:p>
        </w:tc>
        <w:tc>
          <w:tcPr>
            <w:tcW w:w="2180" w:type="dxa"/>
            <w:tcBorders>
              <w:top w:val="single" w:sz="4" w:space="0" w:color="auto"/>
              <w:left w:val="nil"/>
              <w:bottom w:val="single" w:sz="4" w:space="0" w:color="auto"/>
              <w:right w:val="single" w:sz="4" w:space="0" w:color="auto"/>
            </w:tcBorders>
            <w:shd w:val="clear" w:color="auto" w:fill="auto"/>
          </w:tcPr>
          <w:p w:rsidR="00370EFF" w:rsidRPr="00370EFF" w:rsidRDefault="00370EFF" w:rsidP="00370EFF">
            <w:pPr>
              <w:jc w:val="right"/>
              <w:rPr>
                <w:rFonts w:ascii="Arial" w:hAnsi="Arial" w:cs="Arial"/>
                <w:sz w:val="17"/>
                <w:szCs w:val="17"/>
              </w:rPr>
            </w:pPr>
            <w:r w:rsidRPr="00370EFF">
              <w:rPr>
                <w:rFonts w:ascii="Arial" w:hAnsi="Arial" w:cs="Arial"/>
                <w:sz w:val="17"/>
                <w:szCs w:val="17"/>
              </w:rPr>
              <w:t xml:space="preserve">278,055,160 </w:t>
            </w:r>
          </w:p>
        </w:tc>
      </w:tr>
      <w:tr w:rsidR="00370EFF" w:rsidRPr="002D70DA" w:rsidTr="00370E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0EFF" w:rsidRPr="00370EFF" w:rsidRDefault="00370EFF" w:rsidP="00370EFF">
            <w:pPr>
              <w:rPr>
                <w:rFonts w:ascii="Arial" w:hAnsi="Arial" w:cs="Arial"/>
                <w:sz w:val="17"/>
                <w:szCs w:val="17"/>
              </w:rPr>
            </w:pPr>
            <w:r w:rsidRPr="00370EF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370EFF" w:rsidRPr="00370EFF" w:rsidRDefault="00370EFF" w:rsidP="00370EFF">
            <w:pPr>
              <w:jc w:val="right"/>
              <w:rPr>
                <w:rFonts w:ascii="Arial" w:hAnsi="Arial" w:cs="Arial"/>
                <w:sz w:val="17"/>
                <w:szCs w:val="17"/>
              </w:rPr>
            </w:pPr>
            <w:r w:rsidRPr="00370EFF">
              <w:rPr>
                <w:rFonts w:ascii="Arial" w:hAnsi="Arial" w:cs="Arial"/>
                <w:sz w:val="17"/>
                <w:szCs w:val="17"/>
              </w:rPr>
              <w:t xml:space="preserve">72,495,246 </w:t>
            </w:r>
          </w:p>
        </w:tc>
        <w:tc>
          <w:tcPr>
            <w:tcW w:w="2180" w:type="dxa"/>
            <w:tcBorders>
              <w:top w:val="single" w:sz="4" w:space="0" w:color="auto"/>
              <w:left w:val="nil"/>
              <w:bottom w:val="single" w:sz="4" w:space="0" w:color="auto"/>
              <w:right w:val="single" w:sz="4" w:space="0" w:color="auto"/>
            </w:tcBorders>
            <w:shd w:val="clear" w:color="auto" w:fill="auto"/>
          </w:tcPr>
          <w:p w:rsidR="00370EFF" w:rsidRPr="00370EFF" w:rsidRDefault="00370EFF" w:rsidP="00370EFF">
            <w:pPr>
              <w:jc w:val="right"/>
              <w:rPr>
                <w:rFonts w:ascii="Arial" w:hAnsi="Arial" w:cs="Arial"/>
                <w:sz w:val="17"/>
                <w:szCs w:val="17"/>
              </w:rPr>
            </w:pPr>
            <w:r w:rsidRPr="00370EFF">
              <w:rPr>
                <w:rFonts w:ascii="Arial" w:hAnsi="Arial" w:cs="Arial"/>
                <w:sz w:val="17"/>
                <w:szCs w:val="17"/>
              </w:rPr>
              <w:t xml:space="preserve">37,381,022 </w:t>
            </w:r>
          </w:p>
        </w:tc>
      </w:tr>
      <w:tr w:rsidR="00370EFF" w:rsidRPr="002D70DA" w:rsidTr="00370EFF">
        <w:trPr>
          <w:trHeight w:val="240"/>
          <w:jc w:val="center"/>
        </w:trPr>
        <w:tc>
          <w:tcPr>
            <w:tcW w:w="4900" w:type="dxa"/>
            <w:tcBorders>
              <w:top w:val="nil"/>
              <w:left w:val="nil"/>
              <w:bottom w:val="nil"/>
              <w:right w:val="single" w:sz="4" w:space="0" w:color="auto"/>
            </w:tcBorders>
            <w:shd w:val="clear" w:color="000000" w:fill="FFFFFF"/>
            <w:vAlign w:val="center"/>
            <w:hideMark/>
          </w:tcPr>
          <w:p w:rsidR="00370EFF" w:rsidRPr="002D70DA" w:rsidRDefault="00370EFF" w:rsidP="00370EF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70EFF" w:rsidRPr="00370EFF" w:rsidRDefault="00370EFF" w:rsidP="00370EFF">
            <w:pPr>
              <w:jc w:val="right"/>
              <w:rPr>
                <w:rFonts w:ascii="Arial" w:hAnsi="Arial" w:cs="Arial"/>
                <w:b/>
                <w:sz w:val="17"/>
                <w:szCs w:val="17"/>
              </w:rPr>
            </w:pPr>
            <w:r w:rsidRPr="00370EFF">
              <w:rPr>
                <w:rFonts w:ascii="Arial" w:hAnsi="Arial" w:cs="Arial"/>
                <w:b/>
                <w:sz w:val="17"/>
                <w:szCs w:val="17"/>
              </w:rPr>
              <w:t xml:space="preserve">381,205,529 </w:t>
            </w:r>
          </w:p>
        </w:tc>
        <w:tc>
          <w:tcPr>
            <w:tcW w:w="2180" w:type="dxa"/>
            <w:tcBorders>
              <w:top w:val="nil"/>
              <w:left w:val="single" w:sz="4" w:space="0" w:color="auto"/>
              <w:bottom w:val="single" w:sz="4" w:space="0" w:color="auto"/>
              <w:right w:val="single" w:sz="4" w:space="0" w:color="auto"/>
            </w:tcBorders>
            <w:shd w:val="clear" w:color="000000" w:fill="FFFFFF"/>
          </w:tcPr>
          <w:p w:rsidR="00370EFF" w:rsidRPr="00370EFF" w:rsidRDefault="00370EFF" w:rsidP="00370EFF">
            <w:pPr>
              <w:jc w:val="right"/>
              <w:rPr>
                <w:rFonts w:ascii="Arial" w:hAnsi="Arial" w:cs="Arial"/>
                <w:b/>
                <w:sz w:val="17"/>
                <w:szCs w:val="17"/>
              </w:rPr>
            </w:pPr>
            <w:r w:rsidRPr="00370EFF">
              <w:rPr>
                <w:rFonts w:ascii="Arial" w:hAnsi="Arial" w:cs="Arial"/>
                <w:b/>
                <w:sz w:val="17"/>
                <w:szCs w:val="17"/>
              </w:rPr>
              <w:t xml:space="preserve">315,436,182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FC5EA8" w:rsidRDefault="00FC5EA8">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704D86">
            <w:pPr>
              <w:jc w:val="right"/>
              <w:rPr>
                <w:rFonts w:ascii="Arial" w:hAnsi="Arial" w:cs="Arial"/>
                <w:b/>
                <w:bCs/>
                <w:color w:val="000000"/>
                <w:sz w:val="17"/>
                <w:szCs w:val="17"/>
              </w:rPr>
            </w:pPr>
            <w:r w:rsidRPr="00704D86">
              <w:rPr>
                <w:rFonts w:ascii="Arial" w:hAnsi="Arial" w:cs="Arial"/>
                <w:b/>
                <w:bCs/>
                <w:color w:val="000000"/>
                <w:sz w:val="17"/>
                <w:szCs w:val="17"/>
              </w:rPr>
              <w:t>2,955,396,336</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704D86" w:rsidP="00F50E22">
            <w:pPr>
              <w:rPr>
                <w:rFonts w:ascii="Arial" w:hAnsi="Arial" w:cs="Arial"/>
                <w:sz w:val="17"/>
                <w:szCs w:val="17"/>
              </w:rPr>
            </w:pPr>
            <w:r w:rsidRPr="00704D86">
              <w:rPr>
                <w:rFonts w:ascii="Arial" w:hAnsi="Arial" w:cs="Arial"/>
                <w:sz w:val="17"/>
                <w:szCs w:val="17"/>
              </w:rPr>
              <w:t>Servicios Básicos</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704D86" w:rsidP="00F50E22">
            <w:pPr>
              <w:jc w:val="right"/>
              <w:rPr>
                <w:rFonts w:ascii="Arial" w:hAnsi="Arial" w:cs="Arial"/>
                <w:bCs/>
                <w:color w:val="000000"/>
                <w:sz w:val="17"/>
                <w:szCs w:val="17"/>
              </w:rPr>
            </w:pPr>
            <w:r w:rsidRPr="00704D86">
              <w:rPr>
                <w:rFonts w:ascii="Arial" w:hAnsi="Arial" w:cs="Arial"/>
                <w:bCs/>
                <w:color w:val="000000"/>
                <w:sz w:val="17"/>
                <w:szCs w:val="17"/>
              </w:rPr>
              <w:t>598,843,185</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704D86" w:rsidP="00704D86">
            <w:pPr>
              <w:jc w:val="right"/>
              <w:rPr>
                <w:rFonts w:ascii="Arial" w:hAnsi="Arial" w:cs="Arial"/>
                <w:bCs/>
                <w:color w:val="000000"/>
                <w:sz w:val="17"/>
                <w:szCs w:val="17"/>
              </w:rPr>
            </w:pPr>
            <w:r>
              <w:rPr>
                <w:rFonts w:ascii="Arial" w:hAnsi="Arial" w:cs="Arial"/>
                <w:bCs/>
                <w:color w:val="000000"/>
                <w:sz w:val="17"/>
                <w:szCs w:val="17"/>
              </w:rPr>
              <w:t>20</w:t>
            </w:r>
            <w:r w:rsidR="00D561B4" w:rsidRPr="00D561B4">
              <w:rPr>
                <w:rFonts w:ascii="Arial" w:hAnsi="Arial" w:cs="Arial"/>
                <w:bCs/>
                <w:color w:val="000000"/>
                <w:sz w:val="17"/>
                <w:szCs w:val="17"/>
              </w:rPr>
              <w:t>.</w:t>
            </w:r>
            <w:r>
              <w:rPr>
                <w:rFonts w:ascii="Arial" w:hAnsi="Arial" w:cs="Arial"/>
                <w:bCs/>
                <w:color w:val="000000"/>
                <w:sz w:val="17"/>
                <w:szCs w:val="17"/>
              </w:rPr>
              <w:t>2</w:t>
            </w:r>
            <w:r w:rsidR="00E81A88">
              <w:rPr>
                <w:rFonts w:ascii="Arial" w:hAnsi="Arial" w:cs="Arial"/>
                <w:bCs/>
                <w:color w:val="000000"/>
                <w:sz w:val="17"/>
                <w:szCs w:val="17"/>
              </w:rPr>
              <w:t>6</w:t>
            </w:r>
            <w:r w:rsidR="00D561B4" w:rsidRPr="00D561B4">
              <w:rPr>
                <w:rFonts w:ascii="Arial" w:hAnsi="Arial" w:cs="Arial"/>
                <w:bCs/>
                <w:color w:val="000000"/>
                <w:sz w:val="17"/>
                <w:szCs w:val="17"/>
              </w:rPr>
              <w:t>%</w:t>
            </w:r>
          </w:p>
        </w:tc>
      </w:tr>
      <w:tr w:rsidR="00E81A88"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E81A88" w:rsidRPr="00F50E22" w:rsidRDefault="00704D86" w:rsidP="00F50E22">
            <w:pPr>
              <w:rPr>
                <w:rFonts w:ascii="Arial" w:hAnsi="Arial" w:cs="Arial"/>
                <w:sz w:val="17"/>
                <w:szCs w:val="17"/>
              </w:rPr>
            </w:pPr>
            <w:r w:rsidRPr="00704D86">
              <w:rPr>
                <w:rFonts w:ascii="Arial" w:hAnsi="Arial" w:cs="Arial"/>
                <w:sz w:val="17"/>
                <w:szCs w:val="17"/>
              </w:rPr>
              <w:t>Servicios Profesionales, Científicos y Técnicos y Otros Servicios</w:t>
            </w:r>
          </w:p>
        </w:tc>
        <w:tc>
          <w:tcPr>
            <w:tcW w:w="2180" w:type="dxa"/>
            <w:tcBorders>
              <w:top w:val="single" w:sz="4" w:space="0" w:color="auto"/>
              <w:left w:val="nil"/>
              <w:bottom w:val="single" w:sz="4" w:space="0" w:color="auto"/>
              <w:right w:val="single" w:sz="4" w:space="0" w:color="auto"/>
            </w:tcBorders>
            <w:shd w:val="clear" w:color="auto" w:fill="auto"/>
          </w:tcPr>
          <w:p w:rsidR="00E81A88" w:rsidRDefault="00704D86" w:rsidP="00F50E22">
            <w:pPr>
              <w:jc w:val="right"/>
              <w:rPr>
                <w:rFonts w:ascii="Arial" w:hAnsi="Arial" w:cs="Arial"/>
                <w:bCs/>
                <w:color w:val="000000"/>
                <w:sz w:val="17"/>
                <w:szCs w:val="17"/>
              </w:rPr>
            </w:pPr>
            <w:r w:rsidRPr="00704D86">
              <w:rPr>
                <w:rFonts w:ascii="Arial" w:hAnsi="Arial" w:cs="Arial"/>
                <w:bCs/>
                <w:color w:val="000000"/>
                <w:sz w:val="17"/>
                <w:szCs w:val="17"/>
              </w:rPr>
              <w:t>692,918,944</w:t>
            </w:r>
          </w:p>
        </w:tc>
        <w:tc>
          <w:tcPr>
            <w:tcW w:w="2180" w:type="dxa"/>
            <w:tcBorders>
              <w:top w:val="single" w:sz="4" w:space="0" w:color="auto"/>
              <w:left w:val="nil"/>
              <w:bottom w:val="single" w:sz="4" w:space="0" w:color="auto"/>
              <w:right w:val="single" w:sz="4" w:space="0" w:color="auto"/>
            </w:tcBorders>
            <w:shd w:val="clear" w:color="auto" w:fill="auto"/>
          </w:tcPr>
          <w:p w:rsidR="00E81A88" w:rsidRPr="00D561B4" w:rsidRDefault="00704D86" w:rsidP="00704D86">
            <w:pPr>
              <w:jc w:val="right"/>
              <w:rPr>
                <w:rFonts w:ascii="Arial" w:hAnsi="Arial" w:cs="Arial"/>
                <w:bCs/>
                <w:color w:val="000000"/>
                <w:sz w:val="17"/>
                <w:szCs w:val="17"/>
              </w:rPr>
            </w:pPr>
            <w:r>
              <w:rPr>
                <w:rFonts w:ascii="Arial" w:hAnsi="Arial" w:cs="Arial"/>
                <w:bCs/>
                <w:color w:val="000000"/>
                <w:sz w:val="17"/>
                <w:szCs w:val="17"/>
              </w:rPr>
              <w:t>2</w:t>
            </w:r>
            <w:r w:rsidR="00E81A88">
              <w:rPr>
                <w:rFonts w:ascii="Arial" w:hAnsi="Arial" w:cs="Arial"/>
                <w:bCs/>
                <w:color w:val="000000"/>
                <w:sz w:val="17"/>
                <w:szCs w:val="17"/>
              </w:rPr>
              <w:t>3.</w:t>
            </w:r>
            <w:r>
              <w:rPr>
                <w:rFonts w:ascii="Arial" w:hAnsi="Arial" w:cs="Arial"/>
                <w:bCs/>
                <w:color w:val="000000"/>
                <w:sz w:val="17"/>
                <w:szCs w:val="17"/>
              </w:rPr>
              <w:t>45</w:t>
            </w:r>
            <w:r w:rsidR="00E81A88">
              <w:rPr>
                <w:rFonts w:ascii="Arial" w:hAnsi="Arial" w:cs="Arial"/>
                <w:bCs/>
                <w:color w:val="000000"/>
                <w:sz w:val="17"/>
                <w:szCs w:val="17"/>
              </w:rPr>
              <w:t>%</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6A573B" w:rsidP="00603D16">
            <w:pPr>
              <w:jc w:val="right"/>
              <w:rPr>
                <w:rFonts w:ascii="Arial" w:hAnsi="Arial" w:cs="Arial"/>
                <w:b/>
                <w:sz w:val="17"/>
                <w:szCs w:val="17"/>
              </w:rPr>
            </w:pPr>
            <w:r w:rsidRPr="006A573B">
              <w:rPr>
                <w:rFonts w:ascii="Arial" w:hAnsi="Arial" w:cs="Arial"/>
                <w:b/>
                <w:sz w:val="17"/>
                <w:szCs w:val="17"/>
              </w:rPr>
              <w:t>-54,246,911</w:t>
            </w:r>
          </w:p>
        </w:tc>
      </w:tr>
      <w:tr w:rsidR="006A573B"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A573B" w:rsidRDefault="006A573B" w:rsidP="00603D16">
            <w:pPr>
              <w:rPr>
                <w:rFonts w:ascii="Arial" w:hAnsi="Arial" w:cs="Arial"/>
                <w:b/>
                <w:bCs/>
                <w:color w:val="000000"/>
                <w:sz w:val="17"/>
                <w:szCs w:val="17"/>
              </w:rPr>
            </w:pPr>
            <w:r w:rsidRPr="006A573B">
              <w:rPr>
                <w:rFonts w:ascii="Arial" w:hAnsi="Arial" w:cs="Arial"/>
                <w:b/>
                <w:bCs/>
                <w:color w:val="000000"/>
                <w:sz w:val="17"/>
                <w:szCs w:val="17"/>
              </w:rPr>
              <w:t>Donaciones de Capital</w:t>
            </w:r>
          </w:p>
        </w:tc>
        <w:tc>
          <w:tcPr>
            <w:tcW w:w="2180" w:type="dxa"/>
            <w:tcBorders>
              <w:top w:val="single" w:sz="4" w:space="0" w:color="auto"/>
              <w:left w:val="nil"/>
              <w:bottom w:val="single" w:sz="4" w:space="0" w:color="auto"/>
              <w:right w:val="single" w:sz="4" w:space="0" w:color="auto"/>
            </w:tcBorders>
            <w:shd w:val="clear" w:color="auto" w:fill="auto"/>
          </w:tcPr>
          <w:p w:rsidR="006A573B" w:rsidRPr="006A573B" w:rsidRDefault="006A573B" w:rsidP="00603D16">
            <w:pPr>
              <w:jc w:val="right"/>
              <w:rPr>
                <w:rFonts w:ascii="Arial" w:hAnsi="Arial" w:cs="Arial"/>
                <w:b/>
                <w:sz w:val="17"/>
                <w:szCs w:val="17"/>
              </w:rPr>
            </w:pPr>
            <w:r w:rsidRPr="006A573B">
              <w:rPr>
                <w:rFonts w:ascii="Arial" w:hAnsi="Arial" w:cs="Arial"/>
                <w:b/>
                <w:sz w:val="17"/>
                <w:szCs w:val="17"/>
              </w:rPr>
              <w:t>488,457,453</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5151EC" w:rsidRDefault="009A7FA3"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Resultado de Aportaciones</w:t>
      </w:r>
      <w:r w:rsidR="006A573B">
        <w:rPr>
          <w:rFonts w:ascii="Arial" w:eastAsia="Calibri" w:hAnsi="Arial" w:cs="Arial"/>
          <w:spacing w:val="-1"/>
          <w:sz w:val="17"/>
          <w:szCs w:val="17"/>
        </w:rPr>
        <w:t xml:space="preserve"> y Donaciones de Capital </w:t>
      </w:r>
      <w:r>
        <w:rPr>
          <w:rFonts w:ascii="Arial" w:eastAsia="Calibri" w:hAnsi="Arial" w:cs="Arial"/>
          <w:spacing w:val="-1"/>
          <w:sz w:val="17"/>
          <w:szCs w:val="17"/>
        </w:rPr>
        <w:t xml:space="preserve">registradas por </w:t>
      </w:r>
      <w:r w:rsidR="006D1FCA">
        <w:rPr>
          <w:rFonts w:ascii="Arial" w:eastAsia="Calibri" w:hAnsi="Arial" w:cs="Arial"/>
          <w:spacing w:val="-1"/>
          <w:sz w:val="17"/>
          <w:szCs w:val="17"/>
        </w:rPr>
        <w:t>l</w:t>
      </w:r>
      <w:r w:rsidR="006A573B">
        <w:rPr>
          <w:rFonts w:ascii="Arial" w:eastAsia="Calibri" w:hAnsi="Arial" w:cs="Arial"/>
          <w:spacing w:val="-1"/>
          <w:sz w:val="17"/>
          <w:szCs w:val="17"/>
        </w:rPr>
        <w:t>a</w:t>
      </w:r>
      <w:r w:rsidR="006D1FCA">
        <w:rPr>
          <w:rFonts w:ascii="Arial" w:eastAsia="Calibri" w:hAnsi="Arial" w:cs="Arial"/>
          <w:spacing w:val="-1"/>
          <w:sz w:val="17"/>
          <w:szCs w:val="17"/>
        </w:rPr>
        <w:t xml:space="preserve"> </w:t>
      </w:r>
      <w:r w:rsidR="006A573B" w:rsidRPr="006A573B">
        <w:rPr>
          <w:rFonts w:ascii="Arial" w:eastAsia="Calibri" w:hAnsi="Arial" w:cs="Arial"/>
          <w:spacing w:val="-1"/>
          <w:sz w:val="17"/>
          <w:szCs w:val="17"/>
        </w:rPr>
        <w:t>Comisión Estatal de Aguas</w:t>
      </w:r>
      <w:r w:rsidR="006D1FCA">
        <w:rPr>
          <w:rFonts w:ascii="Arial" w:eastAsia="Calibri" w:hAnsi="Arial" w:cs="Arial"/>
          <w:spacing w:val="-1"/>
          <w:sz w:val="17"/>
          <w:szCs w:val="17"/>
        </w:rPr>
        <w:t>.</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6A573B" w:rsidP="008B2E49">
            <w:pPr>
              <w:jc w:val="right"/>
              <w:rPr>
                <w:rFonts w:ascii="Arial" w:hAnsi="Arial" w:cs="Arial"/>
                <w:b/>
                <w:sz w:val="17"/>
                <w:szCs w:val="17"/>
              </w:rPr>
            </w:pPr>
            <w:r w:rsidRPr="006A573B">
              <w:rPr>
                <w:rFonts w:ascii="Arial" w:hAnsi="Arial" w:cs="Arial"/>
                <w:b/>
                <w:sz w:val="17"/>
                <w:szCs w:val="17"/>
              </w:rPr>
              <w:t>247,409,591</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6A573B" w:rsidP="008B2E49">
            <w:pPr>
              <w:jc w:val="right"/>
              <w:rPr>
                <w:rFonts w:ascii="Arial" w:hAnsi="Arial" w:cs="Arial"/>
                <w:b/>
                <w:sz w:val="17"/>
                <w:szCs w:val="17"/>
              </w:rPr>
            </w:pPr>
            <w:r w:rsidRPr="006A573B">
              <w:rPr>
                <w:rFonts w:ascii="Arial" w:hAnsi="Arial" w:cs="Arial"/>
                <w:b/>
                <w:sz w:val="17"/>
                <w:szCs w:val="17"/>
              </w:rPr>
              <w:t>-3,138,041</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proofErr w:type="spellStart"/>
            <w:r w:rsidRPr="002D70DA">
              <w:rPr>
                <w:rFonts w:ascii="Arial" w:hAnsi="Arial" w:cs="Arial"/>
                <w:b/>
                <w:bCs/>
                <w:color w:val="000000"/>
                <w:sz w:val="17"/>
                <w:szCs w:val="17"/>
              </w:rPr>
              <w:t>Revalúos</w:t>
            </w:r>
            <w:proofErr w:type="spellEnd"/>
          </w:p>
        </w:tc>
        <w:tc>
          <w:tcPr>
            <w:tcW w:w="3087" w:type="dxa"/>
            <w:tcBorders>
              <w:top w:val="nil"/>
              <w:left w:val="nil"/>
              <w:bottom w:val="single" w:sz="4" w:space="0" w:color="auto"/>
              <w:right w:val="single" w:sz="4" w:space="0" w:color="auto"/>
            </w:tcBorders>
            <w:shd w:val="clear" w:color="auto" w:fill="auto"/>
            <w:hideMark/>
          </w:tcPr>
          <w:p w:rsidR="008B2E49" w:rsidRPr="008B2E49" w:rsidRDefault="006A573B" w:rsidP="008B2E49">
            <w:pPr>
              <w:jc w:val="right"/>
              <w:rPr>
                <w:rFonts w:ascii="Arial" w:hAnsi="Arial" w:cs="Arial"/>
                <w:b/>
                <w:sz w:val="17"/>
                <w:szCs w:val="17"/>
              </w:rPr>
            </w:pPr>
            <w:r w:rsidRPr="006A573B">
              <w:rPr>
                <w:rFonts w:ascii="Arial" w:hAnsi="Arial" w:cs="Arial"/>
                <w:b/>
                <w:sz w:val="17"/>
                <w:szCs w:val="17"/>
              </w:rPr>
              <w:t>33,979,737</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6A573B"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6A573B" w:rsidRPr="006A573B" w:rsidRDefault="006A573B" w:rsidP="008B2E49">
            <w:pPr>
              <w:rPr>
                <w:rFonts w:ascii="Arial" w:hAnsi="Arial" w:cs="Arial"/>
                <w:b/>
                <w:color w:val="000000"/>
                <w:sz w:val="17"/>
                <w:szCs w:val="17"/>
              </w:rPr>
            </w:pPr>
            <w:r w:rsidRPr="006A573B">
              <w:rPr>
                <w:rFonts w:ascii="Arial" w:hAnsi="Arial" w:cs="Arial"/>
                <w:b/>
                <w:color w:val="000000"/>
                <w:sz w:val="17"/>
                <w:szCs w:val="17"/>
              </w:rPr>
              <w:t>Reservas</w:t>
            </w:r>
          </w:p>
        </w:tc>
        <w:tc>
          <w:tcPr>
            <w:tcW w:w="3087" w:type="dxa"/>
            <w:tcBorders>
              <w:top w:val="nil"/>
              <w:left w:val="nil"/>
              <w:bottom w:val="single" w:sz="4" w:space="0" w:color="auto"/>
              <w:right w:val="single" w:sz="4" w:space="0" w:color="auto"/>
            </w:tcBorders>
            <w:shd w:val="clear" w:color="000000" w:fill="FFFFFF"/>
          </w:tcPr>
          <w:p w:rsidR="006A573B" w:rsidRPr="006A573B" w:rsidRDefault="006A573B" w:rsidP="008B2E49">
            <w:pPr>
              <w:jc w:val="right"/>
              <w:rPr>
                <w:rFonts w:ascii="Arial" w:hAnsi="Arial" w:cs="Arial"/>
                <w:b/>
                <w:sz w:val="17"/>
                <w:szCs w:val="17"/>
              </w:rPr>
            </w:pPr>
            <w:r w:rsidRPr="006A573B">
              <w:rPr>
                <w:rFonts w:ascii="Arial" w:hAnsi="Arial" w:cs="Arial"/>
                <w:b/>
                <w:sz w:val="17"/>
                <w:szCs w:val="17"/>
              </w:rPr>
              <w:t>3,138,041</w:t>
            </w:r>
          </w:p>
        </w:tc>
      </w:tr>
      <w:tr w:rsidR="006A573B"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6A573B" w:rsidRPr="002D70DA" w:rsidRDefault="006A573B" w:rsidP="008B2E49">
            <w:pPr>
              <w:rPr>
                <w:rFonts w:ascii="Arial" w:hAnsi="Arial" w:cs="Arial"/>
                <w:color w:val="000000"/>
                <w:sz w:val="17"/>
                <w:szCs w:val="17"/>
              </w:rPr>
            </w:pPr>
          </w:p>
        </w:tc>
        <w:tc>
          <w:tcPr>
            <w:tcW w:w="3087" w:type="dxa"/>
            <w:tcBorders>
              <w:top w:val="nil"/>
              <w:left w:val="nil"/>
              <w:bottom w:val="single" w:sz="4" w:space="0" w:color="auto"/>
              <w:right w:val="single" w:sz="4" w:space="0" w:color="auto"/>
            </w:tcBorders>
            <w:shd w:val="clear" w:color="000000" w:fill="FFFFFF"/>
          </w:tcPr>
          <w:p w:rsidR="006A573B" w:rsidRPr="008B2E49" w:rsidRDefault="006A573B"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6A573B" w:rsidP="00FC36E3">
            <w:pPr>
              <w:jc w:val="right"/>
              <w:rPr>
                <w:rFonts w:ascii="Arial" w:hAnsi="Arial" w:cs="Arial"/>
                <w:b/>
                <w:sz w:val="17"/>
                <w:szCs w:val="17"/>
              </w:rPr>
            </w:pPr>
            <w:r w:rsidRPr="006A573B">
              <w:rPr>
                <w:rFonts w:ascii="Arial" w:hAnsi="Arial" w:cs="Arial"/>
                <w:b/>
                <w:sz w:val="17"/>
                <w:szCs w:val="17"/>
              </w:rPr>
              <w:t>299,160,632</w:t>
            </w:r>
          </w:p>
        </w:tc>
      </w:tr>
    </w:tbl>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rsidP="00730BB8">
      <w:pPr>
        <w:spacing w:before="80" w:line="250" w:lineRule="exact"/>
        <w:ind w:left="709"/>
        <w:jc w:val="both"/>
        <w:rPr>
          <w:rFonts w:ascii="Arial" w:eastAsia="Calibri" w:hAnsi="Arial" w:cs="Arial"/>
          <w:spacing w:val="-1"/>
          <w:sz w:val="17"/>
          <w:szCs w:val="17"/>
        </w:rPr>
      </w:pPr>
      <w:proofErr w:type="spellStart"/>
      <w:r w:rsidRPr="00730BB8">
        <w:rPr>
          <w:rFonts w:ascii="Arial" w:eastAsia="Calibri" w:hAnsi="Arial" w:cs="Arial"/>
          <w:spacing w:val="-1"/>
          <w:sz w:val="17"/>
          <w:szCs w:val="17"/>
        </w:rPr>
        <w:t>Revalúos</w:t>
      </w:r>
      <w:proofErr w:type="spellEnd"/>
      <w:r w:rsidR="0091188F">
        <w:rPr>
          <w:rFonts w:ascii="Arial" w:eastAsia="Calibri" w:hAnsi="Arial" w:cs="Arial"/>
          <w:spacing w:val="-1"/>
          <w:sz w:val="17"/>
          <w:szCs w:val="17"/>
        </w:rPr>
        <w:t xml:space="preserve"> registrados por </w:t>
      </w:r>
      <w:r>
        <w:rPr>
          <w:rFonts w:ascii="Arial" w:eastAsia="Calibri" w:hAnsi="Arial" w:cs="Arial"/>
          <w:spacing w:val="-1"/>
          <w:sz w:val="17"/>
          <w:szCs w:val="17"/>
        </w:rPr>
        <w:t>l</w:t>
      </w:r>
      <w:r w:rsidR="0091188F">
        <w:rPr>
          <w:rFonts w:ascii="Arial" w:eastAsia="Calibri" w:hAnsi="Arial" w:cs="Arial"/>
          <w:spacing w:val="-1"/>
          <w:sz w:val="17"/>
          <w:szCs w:val="17"/>
        </w:rPr>
        <w:t>a</w:t>
      </w:r>
      <w:r>
        <w:rPr>
          <w:rFonts w:ascii="Arial" w:eastAsia="Calibri" w:hAnsi="Arial" w:cs="Arial"/>
          <w:spacing w:val="-1"/>
          <w:sz w:val="17"/>
          <w:szCs w:val="17"/>
        </w:rPr>
        <w:t xml:space="preserve"> </w:t>
      </w:r>
      <w:r w:rsidR="006A573B" w:rsidRPr="006A573B">
        <w:rPr>
          <w:rFonts w:ascii="Arial" w:eastAsia="Calibri" w:hAnsi="Arial" w:cs="Arial"/>
          <w:spacing w:val="-1"/>
          <w:sz w:val="17"/>
          <w:szCs w:val="17"/>
        </w:rPr>
        <w:t>Comisión Estatal de Aguas</w:t>
      </w:r>
      <w:r w:rsidR="006A573B">
        <w:rPr>
          <w:rFonts w:ascii="Arial" w:eastAsia="Calibri" w:hAnsi="Arial" w:cs="Arial"/>
          <w:spacing w:val="-1"/>
          <w:sz w:val="17"/>
          <w:szCs w:val="17"/>
        </w:rPr>
        <w:t xml:space="preserve">. La cuenta de Reservas afectada por el </w:t>
      </w:r>
      <w:r w:rsidR="006A573B" w:rsidRPr="006A573B">
        <w:rPr>
          <w:rFonts w:ascii="Arial" w:eastAsia="Calibri" w:hAnsi="Arial" w:cs="Arial"/>
          <w:spacing w:val="-1"/>
          <w:sz w:val="17"/>
          <w:szCs w:val="17"/>
        </w:rPr>
        <w:t>Aeropuerto Intercontinental de Querétaro</w:t>
      </w:r>
      <w:r w:rsidR="006A573B">
        <w:rPr>
          <w:rFonts w:ascii="Arial" w:eastAsia="Calibri" w:hAnsi="Arial" w:cs="Arial"/>
          <w:spacing w:val="-1"/>
          <w:sz w:val="17"/>
          <w:szCs w:val="17"/>
        </w:rPr>
        <w:t>.</w:t>
      </w: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2018</w:t>
            </w:r>
          </w:p>
        </w:tc>
      </w:tr>
      <w:tr w:rsidR="00E34BE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34BE6" w:rsidRPr="002D70DA" w:rsidRDefault="00E34BE6" w:rsidP="00E34BE6">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1,463,032 </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1,192,985 </w:t>
            </w:r>
          </w:p>
        </w:tc>
      </w:tr>
      <w:tr w:rsidR="00E34BE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34BE6" w:rsidRPr="002D70DA" w:rsidRDefault="00E34BE6" w:rsidP="00E34BE6">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121,219,192 </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16,522,813 </w:t>
            </w:r>
          </w:p>
        </w:tc>
      </w:tr>
      <w:tr w:rsidR="00E34BE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34BE6" w:rsidRPr="002D70DA" w:rsidRDefault="00E34BE6" w:rsidP="00E34BE6">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157,698,214 </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544,757,267 </w:t>
            </w:r>
          </w:p>
        </w:tc>
      </w:tr>
      <w:tr w:rsidR="00E34BE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E34BE6" w:rsidRPr="002D70DA" w:rsidRDefault="00E34BE6" w:rsidP="00E34BE6">
            <w:pPr>
              <w:rPr>
                <w:rFonts w:ascii="Arial" w:hAnsi="Arial" w:cs="Arial"/>
                <w:color w:val="000000"/>
                <w:sz w:val="17"/>
                <w:szCs w:val="17"/>
              </w:rPr>
            </w:pPr>
            <w:r w:rsidRPr="00E34BE6">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368,342,828 </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214,491,186 </w:t>
            </w:r>
          </w:p>
        </w:tc>
      </w:tr>
      <w:tr w:rsidR="00E34BE6"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34BE6" w:rsidRPr="002D70DA" w:rsidRDefault="00E34BE6" w:rsidP="00E34BE6">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5,228,009 </w:t>
            </w:r>
          </w:p>
        </w:tc>
      </w:tr>
      <w:tr w:rsidR="00E34BE6"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E34BE6" w:rsidRPr="002D70DA" w:rsidRDefault="00E34BE6" w:rsidP="00E34BE6">
            <w:pPr>
              <w:rPr>
                <w:rFonts w:ascii="Arial" w:hAnsi="Arial" w:cs="Arial"/>
                <w:color w:val="000000"/>
                <w:sz w:val="17"/>
                <w:szCs w:val="17"/>
              </w:rPr>
            </w:pPr>
            <w:r w:rsidRPr="00E34BE6">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sz w:val="17"/>
                <w:szCs w:val="17"/>
              </w:rPr>
            </w:pPr>
            <w:r w:rsidRPr="00E34BE6">
              <w:rPr>
                <w:rFonts w:ascii="Arial" w:hAnsi="Arial" w:cs="Arial"/>
                <w:sz w:val="17"/>
                <w:szCs w:val="17"/>
              </w:rPr>
              <w:t xml:space="preserve"> 279,160 </w:t>
            </w:r>
          </w:p>
        </w:tc>
      </w:tr>
      <w:tr w:rsidR="00E34BE6"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34BE6" w:rsidRPr="002D70DA" w:rsidRDefault="00E34BE6" w:rsidP="00E34BE6">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b/>
                <w:sz w:val="17"/>
                <w:szCs w:val="17"/>
              </w:rPr>
            </w:pPr>
            <w:r w:rsidRPr="00E34BE6">
              <w:rPr>
                <w:rFonts w:ascii="Arial" w:hAnsi="Arial" w:cs="Arial"/>
                <w:b/>
                <w:sz w:val="17"/>
                <w:szCs w:val="17"/>
              </w:rPr>
              <w:t xml:space="preserve"> 648,723,267 </w:t>
            </w:r>
          </w:p>
        </w:tc>
        <w:tc>
          <w:tcPr>
            <w:tcW w:w="2180" w:type="dxa"/>
            <w:tcBorders>
              <w:top w:val="nil"/>
              <w:left w:val="nil"/>
              <w:bottom w:val="single" w:sz="4" w:space="0" w:color="auto"/>
              <w:right w:val="single" w:sz="4" w:space="0" w:color="auto"/>
            </w:tcBorders>
            <w:shd w:val="clear" w:color="000000" w:fill="FFFFFF"/>
          </w:tcPr>
          <w:p w:rsidR="00E34BE6" w:rsidRPr="00E34BE6" w:rsidRDefault="00E34BE6" w:rsidP="00E34BE6">
            <w:pPr>
              <w:jc w:val="right"/>
              <w:rPr>
                <w:rFonts w:ascii="Arial" w:hAnsi="Arial" w:cs="Arial"/>
                <w:b/>
                <w:sz w:val="17"/>
                <w:szCs w:val="17"/>
              </w:rPr>
            </w:pPr>
            <w:r w:rsidRPr="00E34BE6">
              <w:rPr>
                <w:rFonts w:ascii="Arial" w:hAnsi="Arial" w:cs="Arial"/>
                <w:b/>
                <w:sz w:val="17"/>
                <w:szCs w:val="17"/>
              </w:rPr>
              <w:t xml:space="preserve"> 782,471,420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1534AD">
            <w:pPr>
              <w:jc w:val="right"/>
              <w:rPr>
                <w:rFonts w:ascii="Arial" w:hAnsi="Arial" w:cs="Arial"/>
                <w:b/>
                <w:bCs/>
                <w:color w:val="000000"/>
                <w:sz w:val="17"/>
                <w:szCs w:val="17"/>
              </w:rPr>
            </w:pPr>
            <w:r w:rsidRPr="001534AD">
              <w:rPr>
                <w:rFonts w:ascii="Arial" w:hAnsi="Arial" w:cs="Arial"/>
                <w:b/>
                <w:bCs/>
                <w:color w:val="000000"/>
                <w:sz w:val="17"/>
                <w:szCs w:val="17"/>
              </w:rPr>
              <w:t>93,348,592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1534AD">
            <w:pPr>
              <w:jc w:val="right"/>
              <w:rPr>
                <w:rFonts w:ascii="Arial" w:hAnsi="Arial" w:cs="Arial"/>
                <w:b/>
                <w:bCs/>
                <w:color w:val="000000"/>
                <w:sz w:val="17"/>
                <w:szCs w:val="17"/>
              </w:rPr>
            </w:pPr>
            <w:r w:rsidRPr="001534AD">
              <w:rPr>
                <w:rFonts w:ascii="Arial" w:hAnsi="Arial" w:cs="Arial"/>
                <w:b/>
                <w:bCs/>
                <w:color w:val="000000"/>
                <w:sz w:val="17"/>
                <w:szCs w:val="17"/>
              </w:rPr>
              <w:t>93,348,592</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FE41FE" w:rsidRPr="002D70DA" w:rsidRDefault="00FE41FE" w:rsidP="00FE41FE">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w:t>
      </w:r>
      <w:r w:rsidR="006F6DA4">
        <w:rPr>
          <w:rFonts w:ascii="Arial" w:eastAsia="Calibri" w:hAnsi="Arial" w:cs="Arial"/>
          <w:spacing w:val="-1"/>
          <w:sz w:val="17"/>
          <w:szCs w:val="17"/>
        </w:rPr>
        <w:t xml:space="preserve"> </w:t>
      </w:r>
      <w:r w:rsidR="006F6DA4" w:rsidRPr="00F50AC7">
        <w:rPr>
          <w:rFonts w:ascii="Arial" w:eastAsia="Calibri" w:hAnsi="Arial" w:cs="Arial"/>
          <w:spacing w:val="-1"/>
          <w:sz w:val="17"/>
          <w:szCs w:val="17"/>
        </w:rPr>
        <w:t>l</w:t>
      </w:r>
      <w:r w:rsidR="00DF387B">
        <w:rPr>
          <w:rFonts w:ascii="Arial" w:eastAsia="Calibri" w:hAnsi="Arial" w:cs="Arial"/>
          <w:spacing w:val="-1"/>
          <w:sz w:val="17"/>
          <w:szCs w:val="17"/>
        </w:rPr>
        <w:t>a</w:t>
      </w:r>
      <w:r w:rsidR="006F6DA4">
        <w:rPr>
          <w:rFonts w:ascii="Arial" w:eastAsia="Calibri" w:hAnsi="Arial" w:cs="Arial"/>
          <w:spacing w:val="-1"/>
          <w:sz w:val="17"/>
          <w:szCs w:val="17"/>
        </w:rPr>
        <w:t xml:space="preserve">s </w:t>
      </w:r>
      <w:r w:rsidR="00C2347D">
        <w:rPr>
          <w:rFonts w:ascii="Arial" w:eastAsia="Calibri" w:hAnsi="Arial" w:cs="Arial"/>
          <w:spacing w:val="-1"/>
          <w:sz w:val="17"/>
          <w:szCs w:val="17"/>
        </w:rPr>
        <w:t>Entidades Paraestatales Empresariales No Financieras con Participación Estatal Mayoritaria del Estado de Querétaro</w:t>
      </w:r>
      <w:r w:rsidRPr="00797197">
        <w:rPr>
          <w:rFonts w:ascii="Arial" w:eastAsia="Calibri" w:hAnsi="Arial" w:cs="Arial"/>
          <w:spacing w:val="-1"/>
          <w:sz w:val="17"/>
          <w:szCs w:val="17"/>
        </w:rPr>
        <w:t>.</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FE41FE" w:rsidRPr="00A67440" w:rsidRDefault="00FE41FE" w:rsidP="00FE41FE">
      <w:pPr>
        <w:spacing w:before="120" w:after="120" w:line="240" w:lineRule="exact"/>
        <w:jc w:val="both"/>
        <w:rPr>
          <w:rFonts w:ascii="Arial" w:eastAsia="Calibri" w:hAnsi="Arial" w:cs="Arial"/>
          <w:spacing w:val="-1"/>
          <w:sz w:val="17"/>
          <w:szCs w:val="17"/>
        </w:rPr>
      </w:pPr>
    </w:p>
    <w:p w:rsidR="004D2674" w:rsidRPr="00B84F0E" w:rsidRDefault="004D2674"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Según el último informe trimestral del Banco de México (BANXICO) correspondiente al tercer trimestre de 2019 (3T-2019) emitido el pasado 27 de noviembre de 2019, señala que las condiciones externas presentadas continuaron con la desaceleración de la economía mundial y sus perspectivas de crecimiento han seguido revisándose a la baja. La desaceleración refleja los efectos de las prolongadas tensiones comerciales, los elevados riesgos geopolíticos y algunos factores idiosincrásicos en varias economías. Los mercados laborales de economías avanzadas continúan mostrando fortaleza y los salarios han aumentado a un ritmo moderado. En este contexto, las inflaciones general y subyacente se mantuvieron en niveles reducidos en la mayoría de las economías avanzadas, manteniéndose así por debajo de la meta de sus respectivos bancos centrales. Así, algunos de los principales bancos centrales, tanto de las economías avanzadas como de las emergentes, implementaron acciones de relajamiento monetario. Los precios de los activos financieros presenta</w:t>
      </w:r>
      <w:r>
        <w:rPr>
          <w:rFonts w:ascii="Arial" w:eastAsia="Calibri" w:hAnsi="Arial" w:cs="Arial"/>
          <w:spacing w:val="-1"/>
          <w:sz w:val="17"/>
          <w:szCs w:val="17"/>
        </w:rPr>
        <w:t>ron fluctuaciones significativa</w:t>
      </w:r>
      <w:r w:rsidRPr="00554ED1">
        <w:rPr>
          <w:rFonts w:ascii="Arial" w:eastAsia="Calibri" w:hAnsi="Arial" w:cs="Arial"/>
          <w:spacing w:val="-1"/>
          <w:sz w:val="17"/>
          <w:szCs w:val="17"/>
        </w:rPr>
        <w:t xml:space="preserve">s derivadas principalmente de los altibajos en las tensiones comerciales y la evolución de las negociaciones sobre el </w:t>
      </w:r>
      <w:proofErr w:type="spellStart"/>
      <w:r w:rsidRPr="00554ED1">
        <w:rPr>
          <w:rFonts w:ascii="Arial" w:eastAsia="Calibri" w:hAnsi="Arial" w:cs="Arial"/>
          <w:spacing w:val="-1"/>
          <w:sz w:val="17"/>
          <w:szCs w:val="17"/>
        </w:rPr>
        <w:t>Brexit</w:t>
      </w:r>
      <w:proofErr w:type="spellEnd"/>
      <w:r w:rsidRPr="00554ED1">
        <w:rPr>
          <w:rFonts w:ascii="Arial" w:eastAsia="Calibri" w:hAnsi="Arial" w:cs="Arial"/>
          <w:spacing w:val="-1"/>
          <w:sz w:val="17"/>
          <w:szCs w:val="17"/>
        </w:rPr>
        <w:t>. No obstante, recientemente estos riesgos se han atenuado. Ello y las posturas monetarias acomodaticias han contribuido a un mejor desempeño de los mercados. Las tensiones comerciales y su efecto en el crecimiento global y el relajamiento de las condiciones financieras globales han afectado la composición de los flujos de capital, con contracciones en renta variable y aumentos en renta fija, así como con episodios de volati</w:t>
      </w:r>
      <w:r>
        <w:rPr>
          <w:rFonts w:ascii="Arial" w:eastAsia="Calibri" w:hAnsi="Arial" w:cs="Arial"/>
          <w:spacing w:val="-1"/>
          <w:sz w:val="17"/>
          <w:szCs w:val="17"/>
        </w:rPr>
        <w:t>lidad en el apetito por riesgo.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Con respecto a la evolución de la Economía Mexicana, BANXICO informa que en el 3T-2019 la actividad económica de México mostró un estancamiento, luego de registrar ligeras caídas entre el 4T-2018 y el 2T-2019. Dicho comportamiento reflejó una pérdida de dinamismo de la demanda agregada, en un contexto en el que prevaleció la incertidumbre asociada tanto a factores externos, como internos. La actividad industrial siguió mostrando un desempeño desfavorable, mientras que el sector servicios ha exhibido atonía. En cuanto al desempeño de la demanda interna, el consumo privado continuó mostrando debilidad. Ello como consecuencia de una desaceleración del consumo de servicios y de bienes, especialmente de origen importado. Por su parte, las remesas y la masa salarial real han mostrado una tendencia creciente. Con relación a la inversión fija bruta, prevaleció el desempeño desfavorable que este indicador ha venido registrando desde el 2S-2015 y especialmente desde inicios de 2018, como reflejo del menor gasto en maquinaria y equipo y de la debilidad de la construcción. En el 3T-2019, las exportaciones manufactureras mostraron una pérdida de dinamismo respecto del crecimiento exhibido en el 2T, en congruencia con el entorno de tensiones comerciales y de desaceleración del comercio mundial, especialmente de la producción manufacturera. En el 3T-2019, las fuentes de recursos financieros de la economía continuaron creciendo a un ritmo bajo con respecto a lo observado en años anteriores, reflejando a su interior una tasa de crecimiento menor de las fuentes externas y un ligero repunte de las internas. En el 3T-2019, tanto la tasa de desocupación nacional, como la urbana, siguieron mostrando niveles superiores a los reportados en 2018. Entre los factores que los empresarios y analistas consideran que podrían limitar el crecimiento destacan los relacionados con la gobernanza. En caso de tener avances en algunos problemas que por años han afectado a la economía, como el estado de derecho (corrupción, inseguridad e impunidad), se propiciaría un entorno que permitiría impulsar el crecimiento.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BANXICO menciona en su informe en el 3T-2019, que la inflación general anual mostró una tendencia descendente. Así, mientras que en el 2T-2019 la inflación general anual promedio fue 4.21%, en el 3T se ubicó en 3.31%, registrando 3.10% en la 1Q-Nov. Este comportamiento es atribuible al importante descenso que ha exhibido la inflación no subyacente anual. Por su parte, la inflación subyacente anual continuó presentando persistencia, si bien recientemente mostró cierta reducción. En días pasados la inflación anual de México en 2019 apunta a cerrar este año como la segunda más baja del actual siglo. Al cierre de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el indicador se ubica en 2.63 por ciento, según datos del Instituto Nacional de Estadística y Geografía (INEGI). De acuerdo con la última encuesta a especialistas del Banco de México, el promedio espera que el indicador cierre el año en 2.92 por ciento. De confirmarse estos datos, la inflación de todo 2019 será la segunda menor desde el 2000, solo superada por el 2.13 por ciento de 2015. La caída en el indicador ha sido impulsada, según el BANXICO, por menores variaciones en los precios de los energéticos, y en algunos productos agropecuarios. De hecho, a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los energéticos no sólo han subido, sino que han caído 0.08 por ciento anual, mientras que los productos agropecuarios lo han hecho en 0.17 por ciento, según cifras del INEGI. Para el siguiente año, el Banco Central estima que la inflación se mantenga en niveles cercanos al 3 por ciento, dentro del rango objetivo de la institución de 3 por ciento +/- un punto porcentual.</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Sobre la conducción de la Política Monetaria, la Junta de Gobierno de BANXICO durante las reuniones de los pasados meses de agosto, septiembre y noviembre se llevaron a cabo reducciones en cada una de ellas de 25pb en la Tasa, llegando a un nivel de 7.50%. En los comunicados de las reuniones se destacó que dichas reducciones se derivaron con base a los siguientes factores que se estaban observando: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Los menores niveles que registraba la inflación general.</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La mayor amplitud de las condiciones de holgura en la economía.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comportamiento reciente de las curvas de rendimiento externas e internas.</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tasas de interés en México han reflejado los efectos de las menores tasas de interés externas, registrando disminuciones en todos sus plazos, mientras que las de corto plazo estuvieron influidas, principalmente, por las reducciones en la tasa de interés objetivo. Si bien la moneda nacional presentó una depreciación en la primera parte del 3T-2019 asociada a un menor apetito por riesgo global, esta se ha revertido parcialmente acompañada de menores niveles de volatilidad. Ello se debe, en parte, aun mayor apetito por riesgo asociado a las menores tensiones comerciales entre China y Estados Unidos. Las expectativas de inflación de corto plazo provenientes de encuestas han seguido a la información más reciente, mientras que las de mayor plazo han permanecido relativamente estables, si bien en niveles superiores a 3%. Por su parte, la compensación por inflación y riesgo inflacionario extraída de instrumentos de mercado registró una disminución.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previsiones para la Actividad Económica, BANXICO estima en su Informe que se anticipa que la economía empiece a mostrar tasas de crecimiento más elevadas a partir del 2020, si bien la recuperación se retrasó respecto a lo previsto en el Informe anterior. En un entorno de marcada incertidumbre, los elementos de riesgo externos e internos que persisten dan lugar a que el balance de riesgos para la actividad económica del país se mantenga sesgado a la baja. Por lo que los riesgos para el escenario de crecimiento en el horizonte de pronóstico serían: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w:t>
      </w:r>
      <w:r w:rsidRPr="00554ED1">
        <w:rPr>
          <w:rFonts w:ascii="Arial" w:eastAsia="Calibri" w:hAnsi="Arial" w:cs="Arial"/>
          <w:spacing w:val="-1"/>
          <w:sz w:val="17"/>
          <w:szCs w:val="17"/>
        </w:rPr>
        <w:tab/>
        <w:t>A la baja derivado al agravamiento de las tensiones comerciales, prolongación del proceso de ratificación del T-MEC en Estados Unidos y Canadá, episodios de volatilidad en los mercados financieros internacionales, desaceleración mayor a la esperada de la economía y el comercio globales, mayor persistencia en la debilidad de los componentes de la demanda agregada, deterioro en la calificación de la deuda soberana o de Pemex, así como el ejercicio del gasto público en 2020 menor al esperado.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Al alza con la formalización del T-MEC, dinamismo de la producción industrial en Estados Unidos mayor al anticipado así como de la demanda agregada a mayor al previsto.</w:t>
      </w:r>
    </w:p>
    <w:p w:rsidR="004D2674"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Se continúa anticipando que la inflación general se mantenga en niveles cercanos a 3%, si bien se prevé que presente un ligero aumento en el 1T-2020. En cuanto a la inflación subyacente anual, se espera que se ubique en niveles cercanos a 3% desde el 3T-2020. Los riesgos para el escenario de Inflación, en este contexto, se </w:t>
      </w:r>
      <w:proofErr w:type="gramStart"/>
      <w:r w:rsidRPr="00554ED1">
        <w:rPr>
          <w:rFonts w:ascii="Arial" w:eastAsia="Calibri" w:hAnsi="Arial" w:cs="Arial"/>
          <w:spacing w:val="-1"/>
          <w:sz w:val="17"/>
          <w:szCs w:val="17"/>
        </w:rPr>
        <w:t>mantiene</w:t>
      </w:r>
      <w:proofErr w:type="gramEnd"/>
      <w:r w:rsidRPr="00554ED1">
        <w:rPr>
          <w:rFonts w:ascii="Arial" w:eastAsia="Calibri" w:hAnsi="Arial" w:cs="Arial"/>
          <w:spacing w:val="-1"/>
          <w:sz w:val="17"/>
          <w:szCs w:val="17"/>
        </w:rPr>
        <w:t xml:space="preserve"> incertidumbre en cuanto a los riesgos que pudieran desviar la inflación respecto de la trayectoria esperada.</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De las Consideraciones Finales BANXICO establece en su informe lo siguiente:</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25 de noviembre se anunció la aprobación, por parte del Fondo Monetario Internacional (FMI), de la solicitud de la Comisión de Cambios de renovar la Línea de Crédito Flexible por dos años más por cerca de 61 mil millones de dólares. El FMI resaltó que el país ha continuado implementando políticas económicas y marcos de política sólidos, además de que cuenta con fuertes fundamentos económicos que le han permitido transitar exitosamente por un entorno externo complejo.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 xml:space="preserve">Es necesario impulsar una reactivación de la inversión propiciando un ambiente de certidumbre y que fortalezcan el clima para hacer negocios, respaldada por un marco macroeconómico sólido y </w:t>
      </w:r>
      <w:proofErr w:type="spellStart"/>
      <w:r w:rsidRPr="00554ED1">
        <w:rPr>
          <w:rFonts w:ascii="Arial" w:eastAsia="Calibri" w:hAnsi="Arial" w:cs="Arial"/>
          <w:spacing w:val="-1"/>
          <w:sz w:val="17"/>
          <w:szCs w:val="17"/>
        </w:rPr>
        <w:t>resiliente</w:t>
      </w:r>
      <w:proofErr w:type="spellEnd"/>
      <w:r w:rsidRPr="00554ED1">
        <w:rPr>
          <w:rFonts w:ascii="Arial" w:eastAsia="Calibri" w:hAnsi="Arial" w:cs="Arial"/>
          <w:spacing w:val="-1"/>
          <w:sz w:val="17"/>
          <w:szCs w:val="17"/>
        </w:rPr>
        <w:t>, apoyado por la disciplina fiscal, la estabilidad de precios y la estabilidad financiera.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Se requiere fomentar una mayor competencia, proporcionar los incentivos necesarios para privilegiar la creación de valor por sobre la búsqueda de rentas, e incrementar la eficiencia con la que opera la economía. Es prioritario fortalecer el Estado de derecho a través del combate a la inseguridad, la corrupción y la impunidad, y brindar certeza jurídica.</w:t>
      </w:r>
    </w:p>
    <w:p w:rsidR="004D2674" w:rsidRDefault="004D2674">
      <w:pPr>
        <w:rPr>
          <w:rFonts w:ascii="Arial" w:hAnsi="Arial" w:cs="Arial"/>
          <w:b/>
          <w:bCs/>
          <w:color w:val="000000"/>
          <w:sz w:val="18"/>
          <w:szCs w:val="34"/>
          <w:shd w:val="clear" w:color="auto" w:fill="FFFFFF"/>
        </w:rPr>
      </w:pPr>
      <w:r>
        <w:rPr>
          <w:rFonts w:ascii="Arial" w:hAnsi="Arial" w:cs="Arial"/>
          <w:b/>
          <w:bCs/>
          <w:color w:val="000000"/>
          <w:sz w:val="18"/>
          <w:szCs w:val="34"/>
          <w:shd w:val="clear" w:color="auto" w:fill="FFFFFF"/>
        </w:rPr>
        <w:br w:type="page"/>
      </w:r>
    </w:p>
    <w:p w:rsidR="00FE41FE" w:rsidRPr="005F29C7" w:rsidRDefault="00FE41FE" w:rsidP="00FE41FE">
      <w:pPr>
        <w:spacing w:before="120" w:after="120" w:line="240" w:lineRule="exact"/>
        <w:ind w:firstLine="360"/>
        <w:jc w:val="both"/>
        <w:rPr>
          <w:rFonts w:ascii="Arial" w:eastAsia="Calibri" w:hAnsi="Arial" w:cs="Arial"/>
          <w:noProof/>
          <w:spacing w:val="-1"/>
          <w:sz w:val="14"/>
          <w:szCs w:val="17"/>
        </w:rPr>
      </w:pPr>
      <w:r w:rsidRPr="005F29C7">
        <w:rPr>
          <w:rFonts w:ascii="Arial" w:hAnsi="Arial" w:cs="Arial"/>
          <w:b/>
          <w:bCs/>
          <w:color w:val="000000"/>
          <w:sz w:val="18"/>
          <w:szCs w:val="34"/>
          <w:shd w:val="clear" w:color="auto" w:fill="FFFFFF"/>
        </w:rPr>
        <w:lastRenderedPageBreak/>
        <w:t>Indicador Trimestral de la Actividad Económica Estatal</w:t>
      </w:r>
    </w:p>
    <w:p w:rsidR="004D2674" w:rsidRDefault="004D2674" w:rsidP="004D2674">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p>
    <w:p w:rsidR="004D2674" w:rsidRPr="009E7D50" w:rsidRDefault="004D2674" w:rsidP="004D2674">
      <w:pPr>
        <w:spacing w:before="120" w:after="120" w:line="240" w:lineRule="exact"/>
        <w:jc w:val="center"/>
        <w:rPr>
          <w:rFonts w:ascii="Arial" w:eastAsia="Calibri" w:hAnsi="Arial" w:cs="Arial"/>
          <w:spacing w:val="-1"/>
          <w:sz w:val="17"/>
          <w:szCs w:val="17"/>
        </w:rPr>
      </w:pPr>
      <w:r>
        <w:rPr>
          <w:rFonts w:ascii="Arial" w:hAnsi="Arial" w:cs="Arial"/>
          <w:b/>
          <w:smallCaps/>
          <w:sz w:val="22"/>
        </w:rPr>
        <w:t xml:space="preserve">durante el tercer trimestre </w:t>
      </w:r>
      <w:r w:rsidRPr="006F056B">
        <w:rPr>
          <w:rFonts w:ascii="Arial" w:hAnsi="Arial" w:cs="Arial"/>
          <w:b/>
          <w:smallCaps/>
          <w:sz w:val="22"/>
          <w:szCs w:val="22"/>
        </w:rPr>
        <w:t xml:space="preserve">de </w:t>
      </w:r>
      <w:r>
        <w:rPr>
          <w:rFonts w:ascii="Arial" w:hAnsi="Arial" w:cs="Arial"/>
          <w:b/>
          <w:smallCaps/>
          <w:sz w:val="22"/>
          <w:szCs w:val="22"/>
        </w:rPr>
        <w:t>2019</w:t>
      </w:r>
    </w:p>
    <w:tbl>
      <w:tblPr>
        <w:tblStyle w:val="Tablaconcuadrcula"/>
        <w:tblpPr w:leftFromText="141" w:rightFromText="141" w:vertAnchor="text" w:horzAnchor="margin" w:tblpXSpec="center" w:tblpY="101"/>
        <w:tblOverlap w:val="never"/>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4D2674" w:rsidTr="00A21366">
        <w:tc>
          <w:tcPr>
            <w:tcW w:w="4346" w:type="dxa"/>
            <w:shd w:val="clear" w:color="auto" w:fill="BDD6EE" w:themeFill="accent1" w:themeFillTint="66"/>
            <w:vAlign w:val="center"/>
          </w:tcPr>
          <w:p w:rsidR="004D2674" w:rsidRPr="000A578B" w:rsidRDefault="004D2674" w:rsidP="00A21366">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vAlign w:val="center"/>
          </w:tcPr>
          <w:p w:rsidR="004D2674" w:rsidRDefault="004D2674" w:rsidP="00A21366">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4D2674" w:rsidTr="00A21366">
        <w:tblPrEx>
          <w:tblCellMar>
            <w:left w:w="70" w:type="dxa"/>
            <w:right w:w="70" w:type="dxa"/>
          </w:tblCellMar>
        </w:tblPrEx>
        <w:tc>
          <w:tcPr>
            <w:tcW w:w="4346" w:type="dxa"/>
            <w:vAlign w:val="center"/>
          </w:tcPr>
          <w:p w:rsidR="004D2674" w:rsidRDefault="004D2674" w:rsidP="00A21366">
            <w:pPr>
              <w:pStyle w:val="p0"/>
              <w:spacing w:before="0"/>
              <w:ind w:left="-116"/>
              <w:jc w:val="center"/>
            </w:pPr>
            <w:r>
              <w:rPr>
                <w:noProof/>
                <w:lang w:val="es-MX" w:eastAsia="es-MX"/>
              </w:rPr>
              <w:drawing>
                <wp:inline distT="0" distB="0" distL="0" distR="0" wp14:anchorId="02AABEED" wp14:editId="6B6B33AE">
                  <wp:extent cx="2520000" cy="4500000"/>
                  <wp:effectExtent l="57150" t="38100" r="71120" b="91440"/>
                  <wp:docPr id="8" name="Gráfic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vAlign w:val="center"/>
          </w:tcPr>
          <w:p w:rsidR="004D2674" w:rsidRDefault="004D2674" w:rsidP="00A21366">
            <w:pPr>
              <w:pStyle w:val="p0"/>
              <w:spacing w:before="0"/>
              <w:ind w:left="-67" w:right="-74"/>
              <w:jc w:val="center"/>
            </w:pPr>
            <w:r>
              <w:rPr>
                <w:noProof/>
                <w:lang w:val="es-MX" w:eastAsia="es-MX"/>
              </w:rPr>
              <w:drawing>
                <wp:inline distT="0" distB="0" distL="0" distR="0" wp14:anchorId="0AAA9327" wp14:editId="4CDBE9CD">
                  <wp:extent cx="2521585" cy="4500000"/>
                  <wp:effectExtent l="57150" t="38100" r="69215" b="91440"/>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 xml:space="preserve">última reforma de fecha 9 de abril de </w:t>
      </w:r>
      <w:r w:rsidR="009831D5">
        <w:rPr>
          <w:rFonts w:ascii="Arial" w:eastAsia="Calibri" w:hAnsi="Arial" w:cs="Arial"/>
          <w:spacing w:val="-1"/>
          <w:sz w:val="17"/>
          <w:szCs w:val="17"/>
        </w:rPr>
        <w:t>2019</w:t>
      </w:r>
      <w:r w:rsidRPr="007F4D94">
        <w:rPr>
          <w:rFonts w:ascii="Arial" w:eastAsia="Calibri" w:hAnsi="Arial" w:cs="Arial"/>
          <w:spacing w:val="-1"/>
          <w:sz w:val="17"/>
          <w:szCs w:val="17"/>
        </w:rPr>
        <w:t>.</w:t>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 en el artículo 4, menciona lo siguiente: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lastRenderedPageBreak/>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 xml:space="preserve">obierno, el ejercicio fiscal </w:t>
      </w:r>
      <w:r w:rsidR="009831D5">
        <w:rPr>
          <w:rFonts w:ascii="Arial" w:eastAsia="Calibri" w:hAnsi="Arial" w:cs="Arial"/>
          <w:spacing w:val="-1"/>
          <w:sz w:val="17"/>
          <w:szCs w:val="17"/>
        </w:rPr>
        <w:t>2019</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302DE">
        <w:rPr>
          <w:rFonts w:ascii="Arial" w:eastAsia="Calibri" w:hAnsi="Arial" w:cs="Arial"/>
          <w:spacing w:val="-1"/>
          <w:sz w:val="17"/>
          <w:szCs w:val="17"/>
        </w:rPr>
        <w:t>.</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FE41FE"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w:t>
      </w:r>
      <w:r w:rsidR="00D35574">
        <w:rPr>
          <w:rFonts w:ascii="Arial" w:eastAsia="Calibri" w:hAnsi="Arial" w:cs="Arial"/>
          <w:spacing w:val="-1"/>
          <w:sz w:val="17"/>
          <w:szCs w:val="17"/>
        </w:rPr>
        <w:t xml:space="preserve"> </w:t>
      </w:r>
      <w:r w:rsidR="006C122E" w:rsidRPr="00F50AC7">
        <w:rPr>
          <w:rFonts w:ascii="Arial" w:eastAsia="Calibri" w:hAnsi="Arial" w:cs="Arial"/>
          <w:spacing w:val="-1"/>
          <w:sz w:val="17"/>
          <w:szCs w:val="17"/>
        </w:rPr>
        <w:t>l</w:t>
      </w:r>
      <w:r w:rsidR="00D35574">
        <w:rPr>
          <w:rFonts w:ascii="Arial" w:eastAsia="Calibri" w:hAnsi="Arial" w:cs="Arial"/>
          <w:spacing w:val="-1"/>
          <w:sz w:val="17"/>
          <w:szCs w:val="17"/>
        </w:rPr>
        <w:t>as</w:t>
      </w:r>
      <w:r w:rsidR="006C122E">
        <w:rPr>
          <w:rFonts w:ascii="Arial" w:eastAsia="Calibri" w:hAnsi="Arial" w:cs="Arial"/>
          <w:spacing w:val="-1"/>
          <w:sz w:val="17"/>
          <w:szCs w:val="17"/>
        </w:rPr>
        <w:t xml:space="preserve"> </w:t>
      </w:r>
      <w:r w:rsidR="00D35574">
        <w:rPr>
          <w:rFonts w:ascii="Arial" w:eastAsia="Calibri" w:hAnsi="Arial" w:cs="Arial"/>
          <w:spacing w:val="-1"/>
          <w:sz w:val="17"/>
          <w:szCs w:val="17"/>
        </w:rPr>
        <w:t>Entidades Paraestatales Empresariales No Financieras con Participación Estatal Mayoritaria del Estado de Querétaro</w:t>
      </w:r>
      <w:r w:rsidRPr="00F50AC7">
        <w:rPr>
          <w:rFonts w:ascii="Arial" w:eastAsia="Calibri" w:hAnsi="Arial" w:cs="Arial"/>
          <w:spacing w:val="-1"/>
          <w:sz w:val="17"/>
          <w:szCs w:val="17"/>
        </w:rPr>
        <w:t>, no se ha aplicado alguna Normatividad Supletoria.</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E41FE" w:rsidRPr="00F50AC7" w:rsidRDefault="006F6DA4"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Asimismo, </w:t>
      </w:r>
      <w:r w:rsidR="00207827">
        <w:rPr>
          <w:rFonts w:ascii="Arial" w:eastAsia="Calibri" w:hAnsi="Arial" w:cs="Arial"/>
          <w:spacing w:val="-1"/>
          <w:sz w:val="17"/>
          <w:szCs w:val="17"/>
        </w:rPr>
        <w:t>l</w:t>
      </w:r>
      <w:r w:rsidR="00290F62">
        <w:rPr>
          <w:rFonts w:ascii="Arial" w:eastAsia="Calibri" w:hAnsi="Arial" w:cs="Arial"/>
          <w:spacing w:val="-1"/>
          <w:sz w:val="17"/>
          <w:szCs w:val="17"/>
        </w:rPr>
        <w:t>a</w:t>
      </w:r>
      <w:r w:rsidR="004A0490">
        <w:rPr>
          <w:rFonts w:ascii="Arial" w:eastAsia="Calibri" w:hAnsi="Arial" w:cs="Arial"/>
          <w:spacing w:val="-1"/>
          <w:sz w:val="17"/>
          <w:szCs w:val="17"/>
        </w:rPr>
        <w:t>s</w:t>
      </w:r>
      <w:r w:rsidR="00207827">
        <w:rPr>
          <w:rFonts w:ascii="Arial" w:eastAsia="Calibri" w:hAnsi="Arial" w:cs="Arial"/>
          <w:spacing w:val="-1"/>
          <w:sz w:val="17"/>
          <w:szCs w:val="17"/>
        </w:rPr>
        <w:t xml:space="preserve"> </w:t>
      </w:r>
      <w:r w:rsidR="00290F62">
        <w:rPr>
          <w:rFonts w:ascii="Arial" w:eastAsia="Calibri" w:hAnsi="Arial" w:cs="Arial"/>
          <w:spacing w:val="-1"/>
          <w:sz w:val="17"/>
          <w:szCs w:val="17"/>
        </w:rPr>
        <w:t>Entidades Paraestatales Empresariales No Financieras con Participación Estatal Mayoritaria del Estado de Querétaro</w:t>
      </w:r>
      <w:r w:rsidR="00FE41FE" w:rsidRPr="00F50AC7">
        <w:rPr>
          <w:rFonts w:ascii="Arial" w:eastAsia="Calibri" w:hAnsi="Arial" w:cs="Arial"/>
          <w:spacing w:val="-1"/>
          <w:sz w:val="17"/>
          <w:szCs w:val="17"/>
        </w:rPr>
        <w:t>, no ha</w:t>
      </w:r>
      <w:r w:rsidR="00411C56">
        <w:rPr>
          <w:rFonts w:ascii="Arial" w:eastAsia="Calibri" w:hAnsi="Arial" w:cs="Arial"/>
          <w:spacing w:val="-1"/>
          <w:sz w:val="17"/>
          <w:szCs w:val="17"/>
        </w:rPr>
        <w:t>n</w:t>
      </w:r>
      <w:r w:rsidR="00FE41FE" w:rsidRPr="00F50AC7">
        <w:rPr>
          <w:rFonts w:ascii="Arial" w:eastAsia="Calibri" w:hAnsi="Arial" w:cs="Arial"/>
          <w:spacing w:val="-1"/>
          <w:sz w:val="17"/>
          <w:szCs w:val="17"/>
        </w:rPr>
        <w:t xml:space="preserve"> efectuado operaciones en el extranjero y no ha tenido efecto alguno en la información financiera gubernamental.</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E41FE" w:rsidRPr="00D87310" w:rsidRDefault="00FE41FE"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4D2674" w:rsidRDefault="004D2674">
      <w:pPr>
        <w:rPr>
          <w:rFonts w:ascii="Arial" w:eastAsia="Calibri" w:hAnsi="Arial" w:cs="Arial"/>
          <w:spacing w:val="-1"/>
          <w:sz w:val="17"/>
          <w:szCs w:val="17"/>
        </w:rPr>
      </w:pPr>
      <w:r>
        <w:rPr>
          <w:rFonts w:ascii="Arial" w:eastAsia="Calibri" w:hAnsi="Arial" w:cs="Arial"/>
          <w:spacing w:val="-1"/>
          <w:sz w:val="17"/>
          <w:szCs w:val="17"/>
        </w:rPr>
        <w:br w:type="page"/>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Posición en Moneda Extranjera y Protección por Riesgo Cambiario</w:t>
      </w:r>
    </w:p>
    <w:p w:rsidR="00FE41FE" w:rsidRPr="00A67440"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FE41FE" w:rsidRDefault="00FE41FE" w:rsidP="00FE41FE">
      <w:pPr>
        <w:spacing w:before="120" w:after="120" w:line="240" w:lineRule="exact"/>
        <w:jc w:val="both"/>
        <w:rPr>
          <w:rFonts w:ascii="Arial" w:eastAsia="Calibri" w:hAnsi="Arial" w:cs="Arial"/>
          <w:spacing w:val="-1"/>
          <w:sz w:val="17"/>
          <w:szCs w:val="17"/>
        </w:rPr>
      </w:pPr>
    </w:p>
    <w:p w:rsidR="00FE41FE" w:rsidRPr="0010523D"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bookmarkStart w:id="0" w:name="_GoBack"/>
      <w:bookmarkEnd w:id="0"/>
    </w:p>
    <w:sectPr w:rsidR="00FE41FE"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E4" w:rsidRDefault="000956E4">
      <w:r>
        <w:separator/>
      </w:r>
    </w:p>
  </w:endnote>
  <w:endnote w:type="continuationSeparator" w:id="0">
    <w:p w:rsidR="000956E4" w:rsidRDefault="0009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CF00D0" w:rsidRDefault="001E1BE9"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480BB7">
      <w:rPr>
        <w:rFonts w:ascii="Avenir LT Std 45 Book" w:hAnsi="Avenir LT Std 45 Book" w:cs="Arial"/>
        <w:noProof/>
        <w:color w:val="808080"/>
        <w:szCs w:val="20"/>
      </w:rPr>
      <w:t>24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480BB7">
      <w:rPr>
        <w:rFonts w:ascii="Avenir LT Std 45 Book" w:hAnsi="Avenir LT Std 45 Book" w:cs="Arial"/>
        <w:noProof/>
        <w:color w:val="808080"/>
        <w:szCs w:val="20"/>
      </w:rPr>
      <w:t>26</w:t>
    </w:r>
    <w:r w:rsidRPr="00CF00D0">
      <w:rPr>
        <w:rFonts w:ascii="Avenir LT Std 45 Book" w:hAnsi="Avenir LT Std 45 Book" w:cs="Arial"/>
        <w:color w:val="808080"/>
        <w:szCs w:val="20"/>
      </w:rPr>
      <w:fldChar w:fldCharType="end"/>
    </w:r>
  </w:p>
  <w:p w:rsidR="001E1BE9" w:rsidRPr="00813029" w:rsidRDefault="001E1BE9"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CF00D0" w:rsidRDefault="001E1BE9"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480BB7">
      <w:rPr>
        <w:rFonts w:ascii="Avenir LT Std 45 Book" w:hAnsi="Avenir LT Std 45 Book" w:cs="Arial"/>
        <w:noProof/>
        <w:color w:val="808080"/>
        <w:szCs w:val="20"/>
      </w:rPr>
      <w:t>23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480BB7">
      <w:rPr>
        <w:rFonts w:ascii="Avenir LT Std 45 Book" w:hAnsi="Avenir LT Std 45 Book" w:cs="Arial"/>
        <w:noProof/>
        <w:color w:val="808080"/>
        <w:szCs w:val="20"/>
      </w:rPr>
      <w:t>26</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E4" w:rsidRDefault="000956E4">
      <w:r>
        <w:separator/>
      </w:r>
    </w:p>
  </w:footnote>
  <w:footnote w:type="continuationSeparator" w:id="0">
    <w:p w:rsidR="000956E4" w:rsidRDefault="000956E4">
      <w:r>
        <w:continuationSeparator/>
      </w:r>
    </w:p>
  </w:footnote>
  <w:footnote w:id="1">
    <w:p w:rsidR="001E1BE9" w:rsidRPr="000008C2" w:rsidRDefault="001E1BE9">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2809DB" w:rsidRDefault="001E1BE9"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BE9" w:rsidRPr="00CF00D0" w:rsidRDefault="001E1BE9"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1E1BE9" w:rsidRPr="00CF00D0" w:rsidRDefault="001E1BE9"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BE9" w:rsidRPr="00CF00D0" w:rsidRDefault="001E1BE9"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1E1BE9" w:rsidRPr="00CF00D0" w:rsidRDefault="001E1BE9"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CF00D0" w:rsidRDefault="001E1BE9"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AC4ED7">
      <w:rPr>
        <w:rFonts w:ascii="Avenir LT Std 45 Book" w:hAnsi="Avenir LT Std 45 Book" w:cs="Arial"/>
        <w:b/>
        <w:caps/>
        <w:noProof/>
        <w:color w:val="808080"/>
        <w:sz w:val="20"/>
        <w:szCs w:val="20"/>
      </w:rPr>
      <w:t>2.1.1.1.0</w:t>
    </w:r>
    <w:r>
      <w:rPr>
        <w:rFonts w:ascii="Avenir LT Std 45 Book" w:hAnsi="Avenir LT Std 45 Book" w:cs="Arial"/>
        <w:b/>
        <w:caps/>
        <w:noProof/>
        <w:color w:val="808080"/>
        <w:sz w:val="20"/>
        <w:szCs w:val="20"/>
      </w:rPr>
      <w:t xml:space="preserve"> ENTIDADES PARAESTATALES EMPRESARIALES NO FINANCIERAS CON PARTICIPACIÓN ESTATAL MAYORITARIA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2"/>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17B6"/>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59B"/>
    <w:rsid w:val="000119FE"/>
    <w:rsid w:val="0001214E"/>
    <w:rsid w:val="00012BDB"/>
    <w:rsid w:val="00012DB2"/>
    <w:rsid w:val="00012E6C"/>
    <w:rsid w:val="0001361A"/>
    <w:rsid w:val="00013641"/>
    <w:rsid w:val="00013D14"/>
    <w:rsid w:val="00016A7F"/>
    <w:rsid w:val="000174D5"/>
    <w:rsid w:val="00017ACD"/>
    <w:rsid w:val="0002043D"/>
    <w:rsid w:val="000204B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40AA9"/>
    <w:rsid w:val="000412BA"/>
    <w:rsid w:val="00041BED"/>
    <w:rsid w:val="00042E9B"/>
    <w:rsid w:val="00043012"/>
    <w:rsid w:val="0004490E"/>
    <w:rsid w:val="0004595A"/>
    <w:rsid w:val="00046A9C"/>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7B1"/>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56E4"/>
    <w:rsid w:val="00097DDA"/>
    <w:rsid w:val="000A003D"/>
    <w:rsid w:val="000A04D9"/>
    <w:rsid w:val="000A0712"/>
    <w:rsid w:val="000A1CD9"/>
    <w:rsid w:val="000A204D"/>
    <w:rsid w:val="000A2512"/>
    <w:rsid w:val="000A39DC"/>
    <w:rsid w:val="000A4096"/>
    <w:rsid w:val="000A5319"/>
    <w:rsid w:val="000A66A2"/>
    <w:rsid w:val="000A6857"/>
    <w:rsid w:val="000A6C91"/>
    <w:rsid w:val="000A6EDA"/>
    <w:rsid w:val="000B0333"/>
    <w:rsid w:val="000B09F9"/>
    <w:rsid w:val="000B0AAA"/>
    <w:rsid w:val="000B13A1"/>
    <w:rsid w:val="000B15B5"/>
    <w:rsid w:val="000B1EEB"/>
    <w:rsid w:val="000B2076"/>
    <w:rsid w:val="000B2E80"/>
    <w:rsid w:val="000B4B11"/>
    <w:rsid w:val="000B4BC8"/>
    <w:rsid w:val="000B503E"/>
    <w:rsid w:val="000B5B5B"/>
    <w:rsid w:val="000B6CE6"/>
    <w:rsid w:val="000B6CF1"/>
    <w:rsid w:val="000B6D04"/>
    <w:rsid w:val="000B78FA"/>
    <w:rsid w:val="000C00FF"/>
    <w:rsid w:val="000C0C81"/>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3A98"/>
    <w:rsid w:val="00114B14"/>
    <w:rsid w:val="00115256"/>
    <w:rsid w:val="00115AA7"/>
    <w:rsid w:val="00115B7F"/>
    <w:rsid w:val="001163C1"/>
    <w:rsid w:val="00116F9D"/>
    <w:rsid w:val="00121647"/>
    <w:rsid w:val="00122060"/>
    <w:rsid w:val="00122818"/>
    <w:rsid w:val="00122F38"/>
    <w:rsid w:val="001235F7"/>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5CB3"/>
    <w:rsid w:val="00145DBE"/>
    <w:rsid w:val="00146909"/>
    <w:rsid w:val="00146A6D"/>
    <w:rsid w:val="00146FDB"/>
    <w:rsid w:val="00147069"/>
    <w:rsid w:val="001479F4"/>
    <w:rsid w:val="00150A77"/>
    <w:rsid w:val="00150FB0"/>
    <w:rsid w:val="0015227C"/>
    <w:rsid w:val="0015343C"/>
    <w:rsid w:val="001534AD"/>
    <w:rsid w:val="00154562"/>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5DF8"/>
    <w:rsid w:val="001772F2"/>
    <w:rsid w:val="00180019"/>
    <w:rsid w:val="001800C2"/>
    <w:rsid w:val="00180288"/>
    <w:rsid w:val="00180430"/>
    <w:rsid w:val="001819E5"/>
    <w:rsid w:val="00181A8D"/>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4EF9"/>
    <w:rsid w:val="001A54B2"/>
    <w:rsid w:val="001A6B95"/>
    <w:rsid w:val="001A7A7F"/>
    <w:rsid w:val="001A7C76"/>
    <w:rsid w:val="001B007B"/>
    <w:rsid w:val="001B2073"/>
    <w:rsid w:val="001B2EE0"/>
    <w:rsid w:val="001B31A7"/>
    <w:rsid w:val="001B3BC0"/>
    <w:rsid w:val="001B49BF"/>
    <w:rsid w:val="001B5113"/>
    <w:rsid w:val="001B511A"/>
    <w:rsid w:val="001B59FD"/>
    <w:rsid w:val="001B5FF6"/>
    <w:rsid w:val="001B6B15"/>
    <w:rsid w:val="001B7767"/>
    <w:rsid w:val="001B7E6F"/>
    <w:rsid w:val="001C123D"/>
    <w:rsid w:val="001C1C28"/>
    <w:rsid w:val="001C2566"/>
    <w:rsid w:val="001C3A28"/>
    <w:rsid w:val="001C4948"/>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BE9"/>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5717"/>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68C"/>
    <w:rsid w:val="002218F0"/>
    <w:rsid w:val="00222005"/>
    <w:rsid w:val="002231E1"/>
    <w:rsid w:val="00224C36"/>
    <w:rsid w:val="002251DE"/>
    <w:rsid w:val="00225492"/>
    <w:rsid w:val="00226B9F"/>
    <w:rsid w:val="00226BB0"/>
    <w:rsid w:val="002273AF"/>
    <w:rsid w:val="00227DFB"/>
    <w:rsid w:val="00227DFE"/>
    <w:rsid w:val="00227F86"/>
    <w:rsid w:val="00230158"/>
    <w:rsid w:val="002302DE"/>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B7B"/>
    <w:rsid w:val="00250DEE"/>
    <w:rsid w:val="0025145F"/>
    <w:rsid w:val="00251646"/>
    <w:rsid w:val="002518AB"/>
    <w:rsid w:val="002520CD"/>
    <w:rsid w:val="00252209"/>
    <w:rsid w:val="00252AD1"/>
    <w:rsid w:val="00252F2E"/>
    <w:rsid w:val="00252FCA"/>
    <w:rsid w:val="00253096"/>
    <w:rsid w:val="002533F7"/>
    <w:rsid w:val="00253F02"/>
    <w:rsid w:val="00254118"/>
    <w:rsid w:val="002543BF"/>
    <w:rsid w:val="00255338"/>
    <w:rsid w:val="002561E9"/>
    <w:rsid w:val="00256C7C"/>
    <w:rsid w:val="00260BA7"/>
    <w:rsid w:val="0026307A"/>
    <w:rsid w:val="00263BCB"/>
    <w:rsid w:val="002640B1"/>
    <w:rsid w:val="0026424A"/>
    <w:rsid w:val="002642BF"/>
    <w:rsid w:val="00264C81"/>
    <w:rsid w:val="00265446"/>
    <w:rsid w:val="00265933"/>
    <w:rsid w:val="0026660B"/>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B02"/>
    <w:rsid w:val="00287D39"/>
    <w:rsid w:val="00290866"/>
    <w:rsid w:val="00290A1E"/>
    <w:rsid w:val="00290F62"/>
    <w:rsid w:val="002912B2"/>
    <w:rsid w:val="002914B5"/>
    <w:rsid w:val="002917C4"/>
    <w:rsid w:val="002917EF"/>
    <w:rsid w:val="00292137"/>
    <w:rsid w:val="002927B2"/>
    <w:rsid w:val="00295285"/>
    <w:rsid w:val="00295733"/>
    <w:rsid w:val="00295E86"/>
    <w:rsid w:val="00296C04"/>
    <w:rsid w:val="002A0DEA"/>
    <w:rsid w:val="002A0EB0"/>
    <w:rsid w:val="002A13AC"/>
    <w:rsid w:val="002A244F"/>
    <w:rsid w:val="002A2B9C"/>
    <w:rsid w:val="002A3B60"/>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F8E"/>
    <w:rsid w:val="002E5A45"/>
    <w:rsid w:val="002E627B"/>
    <w:rsid w:val="002E6460"/>
    <w:rsid w:val="002E7C39"/>
    <w:rsid w:val="002F0F48"/>
    <w:rsid w:val="002F1704"/>
    <w:rsid w:val="002F3A90"/>
    <w:rsid w:val="002F4627"/>
    <w:rsid w:val="002F6A33"/>
    <w:rsid w:val="002F6FB1"/>
    <w:rsid w:val="002F7886"/>
    <w:rsid w:val="002F7E0B"/>
    <w:rsid w:val="00300909"/>
    <w:rsid w:val="00302006"/>
    <w:rsid w:val="00302481"/>
    <w:rsid w:val="00302600"/>
    <w:rsid w:val="00302E16"/>
    <w:rsid w:val="00302E24"/>
    <w:rsid w:val="003033A3"/>
    <w:rsid w:val="003035C8"/>
    <w:rsid w:val="003040EB"/>
    <w:rsid w:val="00304BC2"/>
    <w:rsid w:val="003054EB"/>
    <w:rsid w:val="00305F95"/>
    <w:rsid w:val="0030750A"/>
    <w:rsid w:val="00307A9B"/>
    <w:rsid w:val="00307CCF"/>
    <w:rsid w:val="00307FA8"/>
    <w:rsid w:val="003162BC"/>
    <w:rsid w:val="0031662D"/>
    <w:rsid w:val="00316A2A"/>
    <w:rsid w:val="0031781D"/>
    <w:rsid w:val="003201EB"/>
    <w:rsid w:val="00320566"/>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C3F"/>
    <w:rsid w:val="00337FDA"/>
    <w:rsid w:val="00340812"/>
    <w:rsid w:val="00340D63"/>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153"/>
    <w:rsid w:val="003645A3"/>
    <w:rsid w:val="00365269"/>
    <w:rsid w:val="003652FF"/>
    <w:rsid w:val="003667D6"/>
    <w:rsid w:val="00367360"/>
    <w:rsid w:val="00367978"/>
    <w:rsid w:val="00367BC4"/>
    <w:rsid w:val="003708EA"/>
    <w:rsid w:val="00370CEA"/>
    <w:rsid w:val="00370EFF"/>
    <w:rsid w:val="00371987"/>
    <w:rsid w:val="0037217E"/>
    <w:rsid w:val="00372E51"/>
    <w:rsid w:val="0037305C"/>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688"/>
    <w:rsid w:val="003A2790"/>
    <w:rsid w:val="003A4D24"/>
    <w:rsid w:val="003A517C"/>
    <w:rsid w:val="003A59A7"/>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73FB"/>
    <w:rsid w:val="003B7496"/>
    <w:rsid w:val="003B75E0"/>
    <w:rsid w:val="003B7CB9"/>
    <w:rsid w:val="003C0BDA"/>
    <w:rsid w:val="003C1765"/>
    <w:rsid w:val="003C2087"/>
    <w:rsid w:val="003C2199"/>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4E07"/>
    <w:rsid w:val="003F68D8"/>
    <w:rsid w:val="004006C7"/>
    <w:rsid w:val="00401ABA"/>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629"/>
    <w:rsid w:val="00421938"/>
    <w:rsid w:val="004240FB"/>
    <w:rsid w:val="0042445F"/>
    <w:rsid w:val="00424A9E"/>
    <w:rsid w:val="00424C1D"/>
    <w:rsid w:val="004256A5"/>
    <w:rsid w:val="00426A69"/>
    <w:rsid w:val="00426D9C"/>
    <w:rsid w:val="00426F3B"/>
    <w:rsid w:val="00431A7F"/>
    <w:rsid w:val="00431B24"/>
    <w:rsid w:val="00431F2D"/>
    <w:rsid w:val="0043218E"/>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BB7"/>
    <w:rsid w:val="00480EEE"/>
    <w:rsid w:val="004839AF"/>
    <w:rsid w:val="004843B2"/>
    <w:rsid w:val="00484DCB"/>
    <w:rsid w:val="00484DD3"/>
    <w:rsid w:val="00485520"/>
    <w:rsid w:val="004859FD"/>
    <w:rsid w:val="00486047"/>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490"/>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05FA"/>
    <w:rsid w:val="004D1AEA"/>
    <w:rsid w:val="004D2269"/>
    <w:rsid w:val="004D2674"/>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959"/>
    <w:rsid w:val="00511CB7"/>
    <w:rsid w:val="00512DFD"/>
    <w:rsid w:val="00512EA0"/>
    <w:rsid w:val="005151EC"/>
    <w:rsid w:val="00515667"/>
    <w:rsid w:val="00516523"/>
    <w:rsid w:val="00517326"/>
    <w:rsid w:val="005176EC"/>
    <w:rsid w:val="005207C4"/>
    <w:rsid w:val="005212A5"/>
    <w:rsid w:val="00523304"/>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D97"/>
    <w:rsid w:val="00577F5D"/>
    <w:rsid w:val="00580260"/>
    <w:rsid w:val="00580774"/>
    <w:rsid w:val="00580A3B"/>
    <w:rsid w:val="00580C05"/>
    <w:rsid w:val="00581FFA"/>
    <w:rsid w:val="00582CFB"/>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2A12"/>
    <w:rsid w:val="005D47A8"/>
    <w:rsid w:val="005D523C"/>
    <w:rsid w:val="005D5332"/>
    <w:rsid w:val="005D6754"/>
    <w:rsid w:val="005D74FD"/>
    <w:rsid w:val="005D776E"/>
    <w:rsid w:val="005D78A0"/>
    <w:rsid w:val="005E1616"/>
    <w:rsid w:val="005E2891"/>
    <w:rsid w:val="005E3432"/>
    <w:rsid w:val="005E54BD"/>
    <w:rsid w:val="005E5981"/>
    <w:rsid w:val="005E62A0"/>
    <w:rsid w:val="005E62CF"/>
    <w:rsid w:val="005E633D"/>
    <w:rsid w:val="005E767D"/>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320E"/>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70E67"/>
    <w:rsid w:val="006736AF"/>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73B"/>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4D86"/>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3C69"/>
    <w:rsid w:val="00730BB8"/>
    <w:rsid w:val="00731337"/>
    <w:rsid w:val="0073188F"/>
    <w:rsid w:val="007320B0"/>
    <w:rsid w:val="007330ED"/>
    <w:rsid w:val="007346DA"/>
    <w:rsid w:val="00734FE1"/>
    <w:rsid w:val="00736A30"/>
    <w:rsid w:val="0073759B"/>
    <w:rsid w:val="007376E5"/>
    <w:rsid w:val="00737B98"/>
    <w:rsid w:val="0074064A"/>
    <w:rsid w:val="00740A02"/>
    <w:rsid w:val="007415AD"/>
    <w:rsid w:val="00742511"/>
    <w:rsid w:val="00742F7B"/>
    <w:rsid w:val="00743315"/>
    <w:rsid w:val="00743B5C"/>
    <w:rsid w:val="00743E80"/>
    <w:rsid w:val="007441E5"/>
    <w:rsid w:val="00744DB9"/>
    <w:rsid w:val="007452FC"/>
    <w:rsid w:val="00745E54"/>
    <w:rsid w:val="0075022F"/>
    <w:rsid w:val="00751F23"/>
    <w:rsid w:val="007525A2"/>
    <w:rsid w:val="007528C4"/>
    <w:rsid w:val="00752930"/>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BA6"/>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3A14"/>
    <w:rsid w:val="008053D2"/>
    <w:rsid w:val="008054D5"/>
    <w:rsid w:val="00805B87"/>
    <w:rsid w:val="00805CF8"/>
    <w:rsid w:val="008063C7"/>
    <w:rsid w:val="00806813"/>
    <w:rsid w:val="00806AA5"/>
    <w:rsid w:val="00806D55"/>
    <w:rsid w:val="00807E68"/>
    <w:rsid w:val="00812C14"/>
    <w:rsid w:val="00813029"/>
    <w:rsid w:val="00813175"/>
    <w:rsid w:val="0081323F"/>
    <w:rsid w:val="008132BC"/>
    <w:rsid w:val="00814AB0"/>
    <w:rsid w:val="008150D0"/>
    <w:rsid w:val="00815159"/>
    <w:rsid w:val="008166A2"/>
    <w:rsid w:val="0081697F"/>
    <w:rsid w:val="008200B7"/>
    <w:rsid w:val="008205CD"/>
    <w:rsid w:val="00820807"/>
    <w:rsid w:val="00821074"/>
    <w:rsid w:val="00821350"/>
    <w:rsid w:val="00821630"/>
    <w:rsid w:val="00822A6D"/>
    <w:rsid w:val="00823211"/>
    <w:rsid w:val="00823FF9"/>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3A64"/>
    <w:rsid w:val="008741A6"/>
    <w:rsid w:val="0087446F"/>
    <w:rsid w:val="0087498B"/>
    <w:rsid w:val="00874BEE"/>
    <w:rsid w:val="008751F2"/>
    <w:rsid w:val="0087530F"/>
    <w:rsid w:val="0087561E"/>
    <w:rsid w:val="00876865"/>
    <w:rsid w:val="008777D7"/>
    <w:rsid w:val="008814D3"/>
    <w:rsid w:val="00881854"/>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A019D"/>
    <w:rsid w:val="008A039E"/>
    <w:rsid w:val="008A21AB"/>
    <w:rsid w:val="008A2914"/>
    <w:rsid w:val="008A2CD2"/>
    <w:rsid w:val="008A3517"/>
    <w:rsid w:val="008A47B3"/>
    <w:rsid w:val="008A4847"/>
    <w:rsid w:val="008A4BE5"/>
    <w:rsid w:val="008A5770"/>
    <w:rsid w:val="008A5A94"/>
    <w:rsid w:val="008A5BD4"/>
    <w:rsid w:val="008A6D52"/>
    <w:rsid w:val="008A6FB6"/>
    <w:rsid w:val="008A77F8"/>
    <w:rsid w:val="008B0349"/>
    <w:rsid w:val="008B0607"/>
    <w:rsid w:val="008B1298"/>
    <w:rsid w:val="008B16D6"/>
    <w:rsid w:val="008B29B3"/>
    <w:rsid w:val="008B2CC8"/>
    <w:rsid w:val="008B2CCE"/>
    <w:rsid w:val="008B2E49"/>
    <w:rsid w:val="008B3438"/>
    <w:rsid w:val="008B7119"/>
    <w:rsid w:val="008B7183"/>
    <w:rsid w:val="008B748F"/>
    <w:rsid w:val="008B759B"/>
    <w:rsid w:val="008C1972"/>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88F"/>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25EB"/>
    <w:rsid w:val="0094292A"/>
    <w:rsid w:val="00942B5C"/>
    <w:rsid w:val="009432B0"/>
    <w:rsid w:val="00943F4F"/>
    <w:rsid w:val="00943FB9"/>
    <w:rsid w:val="00944370"/>
    <w:rsid w:val="0094443A"/>
    <w:rsid w:val="00944EF6"/>
    <w:rsid w:val="00944F9E"/>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D34"/>
    <w:rsid w:val="009E5E02"/>
    <w:rsid w:val="009E600A"/>
    <w:rsid w:val="009E6107"/>
    <w:rsid w:val="009E72EA"/>
    <w:rsid w:val="009F02C5"/>
    <w:rsid w:val="009F0F46"/>
    <w:rsid w:val="009F0F79"/>
    <w:rsid w:val="009F1599"/>
    <w:rsid w:val="009F208B"/>
    <w:rsid w:val="009F21D5"/>
    <w:rsid w:val="009F2D7B"/>
    <w:rsid w:val="009F5108"/>
    <w:rsid w:val="009F53EF"/>
    <w:rsid w:val="009F561D"/>
    <w:rsid w:val="009F760E"/>
    <w:rsid w:val="009F7929"/>
    <w:rsid w:val="009F795B"/>
    <w:rsid w:val="00A003D4"/>
    <w:rsid w:val="00A005A0"/>
    <w:rsid w:val="00A0193F"/>
    <w:rsid w:val="00A0269E"/>
    <w:rsid w:val="00A059DC"/>
    <w:rsid w:val="00A05A53"/>
    <w:rsid w:val="00A07CF6"/>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1366"/>
    <w:rsid w:val="00A228B9"/>
    <w:rsid w:val="00A23622"/>
    <w:rsid w:val="00A251C0"/>
    <w:rsid w:val="00A25F9E"/>
    <w:rsid w:val="00A26151"/>
    <w:rsid w:val="00A3015D"/>
    <w:rsid w:val="00A30D3F"/>
    <w:rsid w:val="00A31D25"/>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F56"/>
    <w:rsid w:val="00AB30B3"/>
    <w:rsid w:val="00AB367A"/>
    <w:rsid w:val="00AB40E3"/>
    <w:rsid w:val="00AB4964"/>
    <w:rsid w:val="00AB4ADD"/>
    <w:rsid w:val="00AB55F4"/>
    <w:rsid w:val="00AB68CE"/>
    <w:rsid w:val="00AB6B6F"/>
    <w:rsid w:val="00AB72F1"/>
    <w:rsid w:val="00AB74B9"/>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727"/>
    <w:rsid w:val="00B058B5"/>
    <w:rsid w:val="00B06090"/>
    <w:rsid w:val="00B07F44"/>
    <w:rsid w:val="00B13600"/>
    <w:rsid w:val="00B13AC2"/>
    <w:rsid w:val="00B1555D"/>
    <w:rsid w:val="00B15D7B"/>
    <w:rsid w:val="00B16BBE"/>
    <w:rsid w:val="00B208C0"/>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9D6"/>
    <w:rsid w:val="00B40196"/>
    <w:rsid w:val="00B407D1"/>
    <w:rsid w:val="00B4139E"/>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47560"/>
    <w:rsid w:val="00B50CF6"/>
    <w:rsid w:val="00B5146B"/>
    <w:rsid w:val="00B523D6"/>
    <w:rsid w:val="00B5284A"/>
    <w:rsid w:val="00B52BA4"/>
    <w:rsid w:val="00B542AE"/>
    <w:rsid w:val="00B54DC8"/>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2F0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96342"/>
    <w:rsid w:val="00BA0A84"/>
    <w:rsid w:val="00BA0ADC"/>
    <w:rsid w:val="00BA1D2C"/>
    <w:rsid w:val="00BA26BB"/>
    <w:rsid w:val="00BA365E"/>
    <w:rsid w:val="00BA3767"/>
    <w:rsid w:val="00BA3951"/>
    <w:rsid w:val="00BA44C4"/>
    <w:rsid w:val="00BA6C55"/>
    <w:rsid w:val="00BA6DBA"/>
    <w:rsid w:val="00BA7072"/>
    <w:rsid w:val="00BA783A"/>
    <w:rsid w:val="00BA7D82"/>
    <w:rsid w:val="00BB0404"/>
    <w:rsid w:val="00BB0AB3"/>
    <w:rsid w:val="00BB0D6A"/>
    <w:rsid w:val="00BB0E04"/>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65A"/>
    <w:rsid w:val="00BF3E96"/>
    <w:rsid w:val="00BF3FBC"/>
    <w:rsid w:val="00BF4307"/>
    <w:rsid w:val="00BF4503"/>
    <w:rsid w:val="00BF5083"/>
    <w:rsid w:val="00BF5735"/>
    <w:rsid w:val="00BF616F"/>
    <w:rsid w:val="00BF755D"/>
    <w:rsid w:val="00BF779D"/>
    <w:rsid w:val="00BF7BF2"/>
    <w:rsid w:val="00C0156E"/>
    <w:rsid w:val="00C0176C"/>
    <w:rsid w:val="00C02A45"/>
    <w:rsid w:val="00C03A2D"/>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347D"/>
    <w:rsid w:val="00C240A2"/>
    <w:rsid w:val="00C24B0A"/>
    <w:rsid w:val="00C26BF2"/>
    <w:rsid w:val="00C2770F"/>
    <w:rsid w:val="00C308A6"/>
    <w:rsid w:val="00C31B42"/>
    <w:rsid w:val="00C323DF"/>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2B2"/>
    <w:rsid w:val="00CE65DD"/>
    <w:rsid w:val="00CE7A45"/>
    <w:rsid w:val="00CF00D0"/>
    <w:rsid w:val="00CF19E6"/>
    <w:rsid w:val="00CF2C94"/>
    <w:rsid w:val="00CF338E"/>
    <w:rsid w:val="00CF4395"/>
    <w:rsid w:val="00CF4583"/>
    <w:rsid w:val="00CF4715"/>
    <w:rsid w:val="00CF5872"/>
    <w:rsid w:val="00CF58C6"/>
    <w:rsid w:val="00CF61DA"/>
    <w:rsid w:val="00CF62AC"/>
    <w:rsid w:val="00CF6C54"/>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27A84"/>
    <w:rsid w:val="00D308F2"/>
    <w:rsid w:val="00D30B8D"/>
    <w:rsid w:val="00D3138F"/>
    <w:rsid w:val="00D318DD"/>
    <w:rsid w:val="00D33384"/>
    <w:rsid w:val="00D33839"/>
    <w:rsid w:val="00D33C09"/>
    <w:rsid w:val="00D33F92"/>
    <w:rsid w:val="00D34050"/>
    <w:rsid w:val="00D345CE"/>
    <w:rsid w:val="00D348F2"/>
    <w:rsid w:val="00D35574"/>
    <w:rsid w:val="00D35B63"/>
    <w:rsid w:val="00D40192"/>
    <w:rsid w:val="00D4096B"/>
    <w:rsid w:val="00D40C07"/>
    <w:rsid w:val="00D418A0"/>
    <w:rsid w:val="00D41E77"/>
    <w:rsid w:val="00D425B7"/>
    <w:rsid w:val="00D429D5"/>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4CE8"/>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0AD8"/>
    <w:rsid w:val="00DB2091"/>
    <w:rsid w:val="00DB2F69"/>
    <w:rsid w:val="00DB45BE"/>
    <w:rsid w:val="00DB5CC0"/>
    <w:rsid w:val="00DB5E0C"/>
    <w:rsid w:val="00DB79DC"/>
    <w:rsid w:val="00DB7BFF"/>
    <w:rsid w:val="00DC02C0"/>
    <w:rsid w:val="00DC10A2"/>
    <w:rsid w:val="00DC13F6"/>
    <w:rsid w:val="00DC164C"/>
    <w:rsid w:val="00DC25BE"/>
    <w:rsid w:val="00DC278F"/>
    <w:rsid w:val="00DC330B"/>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250"/>
    <w:rsid w:val="00DD6F0D"/>
    <w:rsid w:val="00DE1AB0"/>
    <w:rsid w:val="00DE1D8F"/>
    <w:rsid w:val="00DE2809"/>
    <w:rsid w:val="00DE2CDE"/>
    <w:rsid w:val="00DE3F52"/>
    <w:rsid w:val="00DE4749"/>
    <w:rsid w:val="00DE7062"/>
    <w:rsid w:val="00DE784A"/>
    <w:rsid w:val="00DF083D"/>
    <w:rsid w:val="00DF287F"/>
    <w:rsid w:val="00DF31EA"/>
    <w:rsid w:val="00DF387B"/>
    <w:rsid w:val="00DF3918"/>
    <w:rsid w:val="00DF45B6"/>
    <w:rsid w:val="00DF5BAB"/>
    <w:rsid w:val="00DF5E25"/>
    <w:rsid w:val="00DF74BA"/>
    <w:rsid w:val="00DF7554"/>
    <w:rsid w:val="00E00F72"/>
    <w:rsid w:val="00E01D9F"/>
    <w:rsid w:val="00E03789"/>
    <w:rsid w:val="00E03F6F"/>
    <w:rsid w:val="00E0405A"/>
    <w:rsid w:val="00E04269"/>
    <w:rsid w:val="00E10447"/>
    <w:rsid w:val="00E11BB7"/>
    <w:rsid w:val="00E11F25"/>
    <w:rsid w:val="00E126CC"/>
    <w:rsid w:val="00E12775"/>
    <w:rsid w:val="00E12997"/>
    <w:rsid w:val="00E129A5"/>
    <w:rsid w:val="00E12B46"/>
    <w:rsid w:val="00E1372E"/>
    <w:rsid w:val="00E13DFB"/>
    <w:rsid w:val="00E15AC5"/>
    <w:rsid w:val="00E1621F"/>
    <w:rsid w:val="00E1729E"/>
    <w:rsid w:val="00E2041A"/>
    <w:rsid w:val="00E20FD4"/>
    <w:rsid w:val="00E23AF9"/>
    <w:rsid w:val="00E25071"/>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34BE6"/>
    <w:rsid w:val="00E40A74"/>
    <w:rsid w:val="00E40EEC"/>
    <w:rsid w:val="00E41944"/>
    <w:rsid w:val="00E41F1C"/>
    <w:rsid w:val="00E42B88"/>
    <w:rsid w:val="00E42C7E"/>
    <w:rsid w:val="00E42FDD"/>
    <w:rsid w:val="00E43529"/>
    <w:rsid w:val="00E44E54"/>
    <w:rsid w:val="00E45FFD"/>
    <w:rsid w:val="00E4729F"/>
    <w:rsid w:val="00E505C6"/>
    <w:rsid w:val="00E52DBA"/>
    <w:rsid w:val="00E52E7C"/>
    <w:rsid w:val="00E52EF2"/>
    <w:rsid w:val="00E5324B"/>
    <w:rsid w:val="00E5417D"/>
    <w:rsid w:val="00E54A60"/>
    <w:rsid w:val="00E55467"/>
    <w:rsid w:val="00E55B4F"/>
    <w:rsid w:val="00E56BB1"/>
    <w:rsid w:val="00E56DC9"/>
    <w:rsid w:val="00E57CEB"/>
    <w:rsid w:val="00E60143"/>
    <w:rsid w:val="00E60172"/>
    <w:rsid w:val="00E614A6"/>
    <w:rsid w:val="00E61B65"/>
    <w:rsid w:val="00E61C58"/>
    <w:rsid w:val="00E64265"/>
    <w:rsid w:val="00E6479A"/>
    <w:rsid w:val="00E707E7"/>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A88"/>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A7BDD"/>
    <w:rsid w:val="00EB0220"/>
    <w:rsid w:val="00EB0540"/>
    <w:rsid w:val="00EB10C1"/>
    <w:rsid w:val="00EB1D21"/>
    <w:rsid w:val="00EB2402"/>
    <w:rsid w:val="00EB279A"/>
    <w:rsid w:val="00EB3B0D"/>
    <w:rsid w:val="00EB3B36"/>
    <w:rsid w:val="00EB3B5F"/>
    <w:rsid w:val="00EB4A57"/>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D6EDA"/>
    <w:rsid w:val="00EE0340"/>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46DD"/>
    <w:rsid w:val="00EF591E"/>
    <w:rsid w:val="00EF6902"/>
    <w:rsid w:val="00EF70F3"/>
    <w:rsid w:val="00EF79BD"/>
    <w:rsid w:val="00EF7D5B"/>
    <w:rsid w:val="00F00736"/>
    <w:rsid w:val="00F007D1"/>
    <w:rsid w:val="00F01210"/>
    <w:rsid w:val="00F03C5B"/>
    <w:rsid w:val="00F0498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402"/>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03C"/>
    <w:rsid w:val="00F8126B"/>
    <w:rsid w:val="00F82D90"/>
    <w:rsid w:val="00F838FF"/>
    <w:rsid w:val="00F859C6"/>
    <w:rsid w:val="00F86013"/>
    <w:rsid w:val="00F864B8"/>
    <w:rsid w:val="00F86717"/>
    <w:rsid w:val="00F87C4E"/>
    <w:rsid w:val="00F87E9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5EA8"/>
    <w:rsid w:val="00FC6446"/>
    <w:rsid w:val="00FC68BA"/>
    <w:rsid w:val="00FD0281"/>
    <w:rsid w:val="00FD03B5"/>
    <w:rsid w:val="00FD04C9"/>
    <w:rsid w:val="00FD0DD1"/>
    <w:rsid w:val="00FD108F"/>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64A"/>
    <w:rsid w:val="00FE4AF4"/>
    <w:rsid w:val="00FE6DCE"/>
    <w:rsid w:val="00FF0DCC"/>
    <w:rsid w:val="00FF2156"/>
    <w:rsid w:val="00FF2C2D"/>
    <w:rsid w:val="00FF37D1"/>
    <w:rsid w:val="00FF3976"/>
    <w:rsid w:val="00FF3C6D"/>
    <w:rsid w:val="00FF3DF7"/>
    <w:rsid w:val="00FF58C8"/>
    <w:rsid w:val="00FF5C56"/>
    <w:rsid w:val="00FF6326"/>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xmlns:c16r2="http://schemas.microsoft.com/office/drawing/2015/06/char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E9-4753-96A5-2D9CFA55F8C2}"/>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E9-4753-96A5-2D9CFA55F8C2}"/>
                </c:ext>
                <c:ext xmlns:c15="http://schemas.microsoft.com/office/drawing/2012/chart" uri="{CE6537A1-D6FC-4f65-9D91-7224C49458BB}"/>
              </c:extLst>
            </c:dLbl>
            <c:dLbl>
              <c:idx val="2"/>
              <c:layout>
                <c:manualLayout>
                  <c:x val="-2.436539560579112E-2"/>
                  <c:y val="-2.01795266700902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E9-4753-96A5-2D9CFA55F8C2}"/>
                </c:ext>
                <c:ext xmlns:c15="http://schemas.microsoft.com/office/drawing/2012/chart" uri="{CE6537A1-D6FC-4f65-9D91-7224C49458BB}"/>
              </c:extLst>
            </c:dLbl>
            <c:dLbl>
              <c:idx val="3"/>
              <c:layout>
                <c:manualLayout>
                  <c:x val="-2.482735902971805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E9-4753-96A5-2D9CFA55F8C2}"/>
                </c:ext>
                <c:ext xmlns:c15="http://schemas.microsoft.com/office/drawing/2012/chart" uri="{CE6537A1-D6FC-4f65-9D91-7224C49458BB}"/>
              </c:extLst>
            </c:dLbl>
            <c:dLbl>
              <c:idx val="4"/>
              <c:layout>
                <c:manualLayout>
                  <c:x val="-1.978663957327914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E9-4753-96A5-2D9CFA55F8C2}"/>
                </c:ext>
                <c:ext xmlns:c15="http://schemas.microsoft.com/office/drawing/2012/chart" uri="{CE6537A1-D6FC-4f65-9D91-7224C49458BB}"/>
              </c:extLst>
            </c:dLbl>
            <c:dLbl>
              <c:idx val="5"/>
              <c:layout>
                <c:manualLayout>
                  <c:x val="-2.2902511430022861E-2"/>
                  <c:y val="-4.2261440435948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7E9-4753-96A5-2D9CFA55F8C2}"/>
                </c:ext>
                <c:ext xmlns:c15="http://schemas.microsoft.com/office/drawing/2012/chart" uri="{CE6537A1-D6FC-4f65-9D91-7224C49458BB}"/>
              </c:extLst>
            </c:dLbl>
            <c:dLbl>
              <c:idx val="6"/>
              <c:layout>
                <c:manualLayout>
                  <c:x val="-2.289935064935056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7E9-4753-96A5-2D9CFA55F8C2}"/>
                </c:ext>
                <c:ext xmlns:c15="http://schemas.microsoft.com/office/drawing/2012/chart" uri="{CE6537A1-D6FC-4f65-9D91-7224C49458BB}"/>
              </c:extLst>
            </c:dLbl>
            <c:dLbl>
              <c:idx val="7"/>
              <c:layout>
                <c:manualLayout>
                  <c:x val="-3.3896764668529339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7E9-4753-96A5-2D9CFA55F8C2}"/>
                </c:ext>
                <c:ext xmlns:c15="http://schemas.microsoft.com/office/drawing/2012/chart" uri="{CE6537A1-D6FC-4f65-9D91-7224C49458BB}">
                  <c15:layout>
                    <c:manualLayout>
                      <c:w val="0.10232864357864357"/>
                      <c:h val="3.1348373848373849E-2"/>
                    </c:manualLayout>
                  </c15:layout>
                </c:ext>
              </c:extLst>
            </c:dLbl>
            <c:dLbl>
              <c:idx val="8"/>
              <c:layout>
                <c:manualLayout>
                  <c:x val="-2.290620490620482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7E9-4753-96A5-2D9CFA55F8C2}"/>
                </c:ext>
                <c:ext xmlns:c15="http://schemas.microsoft.com/office/drawing/2012/chart" uri="{CE6537A1-D6FC-4f65-9D91-7224C49458BB}"/>
              </c:extLst>
            </c:dLbl>
            <c:dLbl>
              <c:idx val="9"/>
              <c:layout>
                <c:manualLayout>
                  <c:x val="-2.290656565656565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7E9-4753-96A5-2D9CFA55F8C2}"/>
                </c:ext>
                <c:ext xmlns:c15="http://schemas.microsoft.com/office/drawing/2012/chart" uri="{CE6537A1-D6FC-4f65-9D91-7224C49458BB}"/>
              </c:extLst>
            </c:dLbl>
            <c:dLbl>
              <c:idx val="10"/>
              <c:layout>
                <c:manualLayout>
                  <c:x val="-3.3900336550673101E-2"/>
                  <c:y val="-3.524083198321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9-4753-96A5-2D9CFA55F8C2}"/>
                </c:ext>
                <c:ext xmlns:c15="http://schemas.microsoft.com/office/drawing/2012/chart" uri="{CE6537A1-D6FC-4f65-9D91-7224C49458BB}">
                  <c15:layout>
                    <c:manualLayout>
                      <c:w val="0.10691017316017316"/>
                      <c:h val="3.487262737262737E-2"/>
                    </c:manualLayout>
                  </c15:layout>
                </c:ext>
              </c:extLst>
            </c:dLbl>
            <c:dLbl>
              <c:idx val="11"/>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9-4753-96A5-2D9CFA55F8C2}"/>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9-4753-96A5-2D9CFA55F8C2}"/>
                </c:ext>
                <c:ext xmlns:c15="http://schemas.microsoft.com/office/drawing/2012/chart" uri="{CE6537A1-D6FC-4f65-9D91-7224C49458BB}"/>
              </c:extLst>
            </c:dLbl>
            <c:dLbl>
              <c:idx val="13"/>
              <c:layout>
                <c:manualLayout>
                  <c:x val="-2.29068770637541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9-4753-96A5-2D9CFA55F8C2}"/>
                </c:ext>
                <c:ext xmlns:c15="http://schemas.microsoft.com/office/drawing/2012/chart" uri="{CE6537A1-D6FC-4f65-9D91-7224C49458BB}"/>
              </c:extLst>
            </c:dLbl>
            <c:dLbl>
              <c:idx val="14"/>
              <c:layout>
                <c:manualLayout>
                  <c:x val="-1.7865363855727713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9-4753-96A5-2D9CFA55F8C2}"/>
                </c:ext>
                <c:ext xmlns:c15="http://schemas.microsoft.com/office/drawing/2012/chart" uri="{CE6537A1-D6FC-4f65-9D91-7224C49458BB}"/>
              </c:extLst>
            </c:dLbl>
            <c:dLbl>
              <c:idx val="15"/>
              <c:layout>
                <c:manualLayout>
                  <c:x val="-1.7863776352552704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9-4753-96A5-2D9CFA55F8C2}"/>
                </c:ext>
                <c:ext xmlns:c15="http://schemas.microsoft.com/office/drawing/2012/chart" uri="{CE6537A1-D6FC-4f65-9D91-7224C49458BB}"/>
              </c:extLst>
            </c:dLbl>
            <c:dLbl>
              <c:idx val="16"/>
              <c:layout>
                <c:manualLayout>
                  <c:x val="-1.7866157607315122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9-4753-96A5-2D9CFA55F8C2}"/>
                </c:ext>
                <c:ext xmlns:c15="http://schemas.microsoft.com/office/drawing/2012/chart" uri="{CE6537A1-D6FC-4f65-9D91-7224C49458BB}"/>
              </c:extLst>
            </c:dLbl>
            <c:dLbl>
              <c:idx val="17"/>
              <c:layout>
                <c:manualLayout>
                  <c:x val="-1.8324675324675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E9-4753-96A5-2D9CFA55F8C2}"/>
                </c:ext>
                <c:ext xmlns:c15="http://schemas.microsoft.com/office/drawing/2012/chart" uri="{CE6537A1-D6FC-4f65-9D91-7224C49458BB}"/>
              </c:extLst>
            </c:dLbl>
            <c:dLbl>
              <c:idx val="18"/>
              <c:layout>
                <c:manualLayout>
                  <c:x val="-1.8325757575757658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E9-4753-96A5-2D9CFA55F8C2}"/>
                </c:ext>
                <c:ext xmlns:c15="http://schemas.microsoft.com/office/drawing/2012/chart" uri="{CE6537A1-D6FC-4f65-9D91-7224C49458BB}"/>
              </c:extLst>
            </c:dLbl>
            <c:dLbl>
              <c:idx val="19"/>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E9-4753-96A5-2D9CFA55F8C2}"/>
                </c:ext>
                <c:ext xmlns:c15="http://schemas.microsoft.com/office/drawing/2012/chart" uri="{CE6537A1-D6FC-4f65-9D91-7224C49458BB}"/>
              </c:extLst>
            </c:dLbl>
            <c:dLbl>
              <c:idx val="20"/>
              <c:layout>
                <c:manualLayout>
                  <c:x val="-1.3285814071628236E-2"/>
                  <c:y val="-3.52430543980483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7E9-4753-96A5-2D9CFA55F8C2}"/>
                </c:ext>
                <c:ext xmlns:c15="http://schemas.microsoft.com/office/drawing/2012/chart" uri="{CE6537A1-D6FC-4f65-9D91-7224C49458BB}"/>
              </c:extLst>
            </c:dLbl>
            <c:dLbl>
              <c:idx val="21"/>
              <c:layout>
                <c:manualLayout>
                  <c:x val="-1.3285814071628051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7E9-4753-96A5-2D9CFA55F8C2}"/>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7E9-4753-96A5-2D9CFA55F8C2}"/>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7E9-4753-96A5-2D9CFA55F8C2}"/>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7E9-4753-96A5-2D9CFA55F8C2}"/>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7E9-4753-96A5-2D9CFA55F8C2}"/>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7E9-4753-96A5-2D9CFA55F8C2}"/>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7E9-4753-96A5-2D9CFA55F8C2}"/>
                </c:ext>
                <c:ext xmlns:c15="http://schemas.microsoft.com/office/drawing/2012/chart" uri="{CE6537A1-D6FC-4f65-9D91-7224C49458BB}"/>
              </c:extLst>
            </c:dLbl>
            <c:dLbl>
              <c:idx val="28"/>
              <c:layout>
                <c:manualLayout>
                  <c:x val="-1.3285814071628143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7E9-4753-96A5-2D9CFA55F8C2}"/>
                </c:ext>
                <c:ext xmlns:c15="http://schemas.microsoft.com/office/drawing/2012/chart" uri="{CE6537A1-D6FC-4f65-9D91-7224C49458BB}"/>
              </c:extLst>
            </c:dLbl>
            <c:dLbl>
              <c:idx val="29"/>
              <c:layout>
                <c:manualLayout>
                  <c:x val="-1.3285814071628236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7E9-4753-96A5-2D9CFA55F8C2}"/>
                </c:ext>
                <c:ext xmlns:c15="http://schemas.microsoft.com/office/drawing/2012/chart" uri="{CE6537A1-D6FC-4f65-9D91-7224C49458BB}"/>
              </c:extLst>
            </c:dLbl>
            <c:dLbl>
              <c:idx val="30"/>
              <c:layout>
                <c:manualLayout>
                  <c:x val="-1.3285814071628143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7E9-4753-96A5-2D9CFA55F8C2}"/>
                </c:ext>
                <c:ext xmlns:c15="http://schemas.microsoft.com/office/drawing/2012/chart" uri="{CE6537A1-D6FC-4f65-9D91-7224C49458BB}"/>
              </c:extLst>
            </c:dLbl>
            <c:dLbl>
              <c:idx val="31"/>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7E9-4753-96A5-2D9CFA55F8C2}"/>
                </c:ext>
                <c:ext xmlns:c15="http://schemas.microsoft.com/office/drawing/2012/chart" uri="{CE6537A1-D6FC-4f65-9D91-7224C49458BB}"/>
              </c:extLst>
            </c:dLbl>
            <c:dLbl>
              <c:idx val="32"/>
              <c:layout>
                <c:manualLayout>
                  <c:x val="-1.32858140716281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7E9-4753-96A5-2D9CFA55F8C2}"/>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xmlns:c16r2="http://schemas.microsoft.com/office/drawing/2015/06/char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1855705824"/>
        <c:axId val="1855707456"/>
        <c:axId val="0"/>
      </c:bar3DChart>
      <c:catAx>
        <c:axId val="1855705824"/>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1855707456"/>
        <c:crossesAt val="0"/>
        <c:auto val="1"/>
        <c:lblAlgn val="ctr"/>
        <c:lblOffset val="100"/>
        <c:noMultiLvlLbl val="0"/>
      </c:catAx>
      <c:valAx>
        <c:axId val="1855707456"/>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1855705824"/>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3.2771284622445065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9-413B-834A-5401D5C5390F}"/>
                </c:ext>
                <c:ext xmlns:c15="http://schemas.microsoft.com/office/drawing/2012/chart" uri="{CE6537A1-D6FC-4f65-9D91-7224C49458BB}"/>
              </c:extLst>
            </c:dLbl>
            <c:dLbl>
              <c:idx val="1"/>
              <c:layout>
                <c:manualLayout>
                  <c:x val="-8.7351010101010179E-2"/>
                  <c:y val="4.04983904983904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9-413B-834A-5401D5C5390F}"/>
                </c:ext>
                <c:ext xmlns:c15="http://schemas.microsoft.com/office/drawing/2012/chart" uri="{CE6537A1-D6FC-4f65-9D91-7224C49458BB}"/>
              </c:extLst>
            </c:dLbl>
            <c:dLbl>
              <c:idx val="2"/>
              <c:layout>
                <c:manualLayout>
                  <c:x val="-7.3793650793650883E-2"/>
                  <c:y val="4.0495615495615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4-4A71-BF1E-3D3EB53B4CFA}"/>
                </c:ext>
                <c:ext xmlns:c15="http://schemas.microsoft.com/office/drawing/2012/chart" uri="{CE6537A1-D6FC-4f65-9D91-7224C49458BB}"/>
              </c:extLst>
            </c:dLbl>
            <c:dLbl>
              <c:idx val="3"/>
              <c:layout>
                <c:manualLayout>
                  <c:x val="-7.1053722162845986E-2"/>
                  <c:y val="2.7342369672039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9-413B-834A-5401D5C5390F}"/>
                </c:ext>
                <c:ext xmlns:c15="http://schemas.microsoft.com/office/drawing/2012/chart" uri="{CE6537A1-D6FC-4f65-9D91-7224C49458BB}"/>
              </c:extLst>
            </c:dLbl>
            <c:dLbl>
              <c:idx val="4"/>
              <c:layout>
                <c:manualLayout>
                  <c:x val="-5.9333316148374927E-2"/>
                  <c:y val="5.71560646367129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99-413B-834A-5401D5C5390F}"/>
                </c:ext>
                <c:ext xmlns:c15="http://schemas.microsoft.com/office/drawing/2012/chart" uri="{CE6537A1-D6FC-4f65-9D91-7224C49458BB}">
                  <c15:layout>
                    <c:manualLayout>
                      <c:w val="0.11026477394178662"/>
                      <c:h val="2.852580556981605E-2"/>
                    </c:manualLayout>
                  </c15:layout>
                </c:ext>
              </c:extLst>
            </c:dLbl>
            <c:dLbl>
              <c:idx val="5"/>
              <c:layout>
                <c:manualLayout>
                  <c:x val="-5.6591588227246054E-2"/>
                  <c:y val="2.9851476016809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2-49A3-9C71-EC84CB9A41E6}"/>
                </c:ext>
                <c:ext xmlns:c15="http://schemas.microsoft.com/office/drawing/2012/chart" uri="{CE6537A1-D6FC-4f65-9D91-7224C49458BB}">
                  <c15:layout>
                    <c:manualLayout>
                      <c:w val="0.10844480519480519"/>
                      <c:h val="3.1348373848373849E-2"/>
                    </c:manualLayout>
                  </c15:layout>
                </c:ext>
              </c:extLst>
            </c:dLbl>
            <c:dLbl>
              <c:idx val="6"/>
              <c:layout>
                <c:manualLayout>
                  <c:x val="-5.9842916261002507E-2"/>
                  <c:y val="2.72823644715875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9-413B-834A-5401D5C5390F}"/>
                </c:ext>
                <c:ext xmlns:c15="http://schemas.microsoft.com/office/drawing/2012/chart" uri="{CE6537A1-D6FC-4f65-9D91-7224C49458BB}"/>
              </c:extLst>
            </c:dLbl>
            <c:dLbl>
              <c:idx val="7"/>
              <c:layout>
                <c:manualLayout>
                  <c:x val="-5.8192367102437643E-2"/>
                  <c:y val="1.41278910838939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99-413B-834A-5401D5C5390F}"/>
                </c:ext>
                <c:ext xmlns:c15="http://schemas.microsoft.com/office/drawing/2012/chart" uri="{CE6537A1-D6FC-4f65-9D91-7224C49458BB}"/>
              </c:extLst>
            </c:dLbl>
            <c:dLbl>
              <c:idx val="8"/>
              <c:layout>
                <c:manualLayout>
                  <c:x val="-5.2702962620732596E-2"/>
                  <c:y val="1.4125668669062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99-413B-834A-5401D5C5390F}"/>
                </c:ext>
                <c:ext xmlns:c15="http://schemas.microsoft.com/office/drawing/2012/chart" uri="{CE6537A1-D6FC-4f65-9D91-7224C49458BB}">
                  <c15:layout>
                    <c:manualLayout>
                      <c:w val="0.10386327561327562"/>
                      <c:h val="3.487262737262737E-2"/>
                    </c:manualLayout>
                  </c15:layout>
                </c:ext>
              </c:extLst>
            </c:dLbl>
            <c:dLbl>
              <c:idx val="9"/>
              <c:layout>
                <c:manualLayout>
                  <c:x val="-5.2083333333333336E-2"/>
                  <c:y val="5.03385503385503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99-413B-834A-5401D5C5390F}"/>
                </c:ext>
                <c:ext xmlns:c15="http://schemas.microsoft.com/office/drawing/2012/chart" uri="{CE6537A1-D6FC-4f65-9D91-7224C49458BB}"/>
              </c:extLst>
            </c:dLbl>
            <c:dLbl>
              <c:idx val="10"/>
              <c:layout>
                <c:manualLayout>
                  <c:x val="-4.915295815295815E-2"/>
                  <c:y val="5.032190032190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99-413B-834A-5401D5C5390F}"/>
                </c:ext>
                <c:ext xmlns:c15="http://schemas.microsoft.com/office/drawing/2012/chart" uri="{CE6537A1-D6FC-4f65-9D91-7224C49458BB}"/>
              </c:extLst>
            </c:dLbl>
            <c:dLbl>
              <c:idx val="11"/>
              <c:layout>
                <c:manualLayout>
                  <c:x val="-4.9152597402597406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99-413B-834A-5401D5C5390F}"/>
                </c:ext>
                <c:ext xmlns:c15="http://schemas.microsoft.com/office/drawing/2012/chart" uri="{CE6537A1-D6FC-4f65-9D91-7224C49458BB}"/>
              </c:extLst>
            </c:dLbl>
            <c:dLbl>
              <c:idx val="12"/>
              <c:layout>
                <c:manualLayout>
                  <c:x val="-4.7690115440115442E-2"/>
                  <c:y val="5.03024753024753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99-413B-834A-5401D5C5390F}"/>
                </c:ext>
                <c:ext xmlns:c15="http://schemas.microsoft.com/office/drawing/2012/chart" uri="{CE6537A1-D6FC-4f65-9D91-7224C49458BB}"/>
              </c:extLst>
            </c:dLbl>
            <c:dLbl>
              <c:idx val="13"/>
              <c:layout>
                <c:manualLayout>
                  <c:x val="-4.4760101010101097E-2"/>
                  <c:y val="3.52480852480858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4-4A71-BF1E-3D3EB53B4CFA}"/>
                </c:ext>
                <c:ext xmlns:c15="http://schemas.microsoft.com/office/drawing/2012/chart" uri="{CE6537A1-D6FC-4f65-9D91-7224C49458BB}"/>
              </c:extLst>
            </c:dLbl>
            <c:dLbl>
              <c:idx val="14"/>
              <c:layout>
                <c:manualLayout>
                  <c:x val="-4.7239335576631458E-2"/>
                  <c:y val="3.5254166472206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99-413B-834A-5401D5C5390F}"/>
                </c:ext>
                <c:ext xmlns:c15="http://schemas.microsoft.com/office/drawing/2012/chart" uri="{CE6537A1-D6FC-4f65-9D91-7224C49458BB}"/>
              </c:extLst>
            </c:dLbl>
            <c:dLbl>
              <c:idx val="15"/>
              <c:layout>
                <c:manualLayout>
                  <c:x val="-4.4313794696589644E-2"/>
                  <c:y val="5.54336931422955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99-413B-834A-5401D5C5390F}"/>
                </c:ext>
                <c:ext xmlns:c15="http://schemas.microsoft.com/office/drawing/2012/chart" uri="{CE6537A1-D6FC-4f65-9D91-7224C49458BB}"/>
              </c:extLst>
            </c:dLbl>
            <c:dLbl>
              <c:idx val="16"/>
              <c:layout>
                <c:manualLayout>
                  <c:x val="-4.4314191272552782E-2"/>
                  <c:y val="3.52630561315313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99-413B-834A-5401D5C5390F}"/>
                </c:ext>
                <c:ext xmlns:c15="http://schemas.microsoft.com/office/drawing/2012/chart" uri="{CE6537A1-D6FC-4f65-9D91-7224C49458BB}"/>
              </c:extLst>
            </c:dLbl>
            <c:dLbl>
              <c:idx val="17"/>
              <c:layout>
                <c:manualLayout>
                  <c:x val="5.3072571418373668E-2"/>
                  <c:y val="8.889659326030478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99-413B-834A-5401D5C5390F}"/>
                </c:ext>
                <c:ext xmlns:c15="http://schemas.microsoft.com/office/drawing/2012/chart" uri="{CE6537A1-D6FC-4f65-9D91-7224C49458BB}"/>
              </c:extLst>
            </c:dLbl>
            <c:dLbl>
              <c:idx val="18"/>
              <c:layout>
                <c:manualLayout>
                  <c:x val="5.4536729874265499E-2"/>
                  <c:y val="-5.17446275685825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99-413B-834A-5401D5C5390F}"/>
                </c:ext>
                <c:ext xmlns:c15="http://schemas.microsoft.com/office/drawing/2012/chart" uri="{CE6537A1-D6FC-4f65-9D91-7224C49458BB}"/>
              </c:extLst>
            </c:dLbl>
            <c:dLbl>
              <c:idx val="19"/>
              <c:layout>
                <c:manualLayout>
                  <c:x val="5.3788391031831168E-2"/>
                  <c:y val="-2.82335580194727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D99-413B-834A-5401D5C5390F}"/>
                </c:ext>
                <c:ext xmlns:c15="http://schemas.microsoft.com/office/drawing/2012/chart" uri="{CE6537A1-D6FC-4f65-9D91-7224C49458BB}"/>
              </c:extLst>
            </c:dLbl>
            <c:dLbl>
              <c:idx val="20"/>
              <c:layout>
                <c:manualLayout>
                  <c:x val="5.3602396905121093E-2"/>
                  <c:y val="-2.82246683601467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99-413B-834A-5401D5C5390F}"/>
                </c:ext>
                <c:ext xmlns:c15="http://schemas.microsoft.com/office/drawing/2012/chart" uri="{CE6537A1-D6FC-4f65-9D91-7224C49458BB}"/>
              </c:extLst>
            </c:dLbl>
            <c:dLbl>
              <c:idx val="21"/>
              <c:layout>
                <c:manualLayout>
                  <c:x val="5.240077173682417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D99-413B-834A-5401D5C5390F}"/>
                </c:ext>
                <c:ext xmlns:c15="http://schemas.microsoft.com/office/drawing/2012/chart" uri="{CE6537A1-D6FC-4f65-9D91-7224C49458BB}"/>
              </c:extLst>
            </c:dLbl>
            <c:dLbl>
              <c:idx val="22"/>
              <c:layout>
                <c:manualLayout>
                  <c:x val="5.7434907012851047E-2"/>
                  <c:y val="-2.222414832025065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D99-413B-834A-5401D5C5390F}"/>
                </c:ext>
                <c:ext xmlns:c15="http://schemas.microsoft.com/office/drawing/2012/chart" uri="{CE6537A1-D6FC-4f65-9D91-7224C49458BB}"/>
              </c:extLst>
            </c:dLbl>
            <c:dLbl>
              <c:idx val="23"/>
              <c:layout>
                <c:manualLayout>
                  <c:x val="6.1004288969041295E-2"/>
                  <c:y val="-2.8229113189809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D99-413B-834A-5401D5C5390F}"/>
                </c:ext>
                <c:ext xmlns:c15="http://schemas.microsoft.com/office/drawing/2012/chart" uri="{CE6537A1-D6FC-4f65-9D91-7224C49458BB}">
                  <c15:layout>
                    <c:manualLayout>
                      <c:w val="9.4700216450216451E-2"/>
                      <c:h val="3.487262737262737E-2"/>
                    </c:manualLayout>
                  </c15:layout>
                </c:ext>
              </c:extLst>
            </c:dLbl>
            <c:dLbl>
              <c:idx val="24"/>
              <c:layout>
                <c:manualLayout>
                  <c:x val="5.78846241550452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D99-413B-834A-5401D5C5390F}"/>
                </c:ext>
                <c:ext xmlns:c15="http://schemas.microsoft.com/office/drawing/2012/chart" uri="{CE6537A1-D6FC-4f65-9D91-7224C49458BB}"/>
              </c:extLst>
            </c:dLbl>
            <c:dLbl>
              <c:idx val="25"/>
              <c:layout>
                <c:manualLayout>
                  <c:x val="5.8972828597885669E-2"/>
                  <c:y val="-2.01906387442467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D99-413B-834A-5401D5C5390F}"/>
                </c:ext>
                <c:ext xmlns:c15="http://schemas.microsoft.com/office/drawing/2012/chart" uri="{CE6537A1-D6FC-4f65-9D91-7224C49458BB}"/>
              </c:extLst>
            </c:dLbl>
            <c:dLbl>
              <c:idx val="26"/>
              <c:layout>
                <c:manualLayout>
                  <c:x val="6.3551298092271238E-2"/>
                  <c:y val="-2.01906387442469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D99-413B-834A-5401D5C5390F}"/>
                </c:ext>
                <c:ext xmlns:c15="http://schemas.microsoft.com/office/drawing/2012/chart" uri="{CE6537A1-D6FC-4f65-9D91-7224C49458BB}"/>
              </c:extLst>
            </c:dLbl>
            <c:dLbl>
              <c:idx val="27"/>
              <c:layout>
                <c:manualLayout>
                  <c:x val="6.9307994773128809E-2"/>
                  <c:y val="-5.12488860145657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D99-413B-834A-5401D5C5390F}"/>
                </c:ext>
                <c:ext xmlns:c15="http://schemas.microsoft.com/office/drawing/2012/chart" uri="{CE6537A1-D6FC-4f65-9D91-7224C49458BB}"/>
              </c:extLst>
            </c:dLbl>
            <c:dLbl>
              <c:idx val="28"/>
              <c:layout>
                <c:manualLayout>
                  <c:x val="7.4794226647128689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D99-413B-834A-5401D5C5390F}"/>
                </c:ext>
                <c:ext xmlns:c15="http://schemas.microsoft.com/office/drawing/2012/chart" uri="{CE6537A1-D6FC-4f65-9D91-7224C49458BB}"/>
              </c:extLst>
            </c:dLbl>
            <c:dLbl>
              <c:idx val="29"/>
              <c:layout>
                <c:manualLayout>
                  <c:x val="7.3763525718942735E-2"/>
                  <c:y val="-7.033942941721486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D99-413B-834A-5401D5C5390F}"/>
                </c:ext>
                <c:ext xmlns:c15="http://schemas.microsoft.com/office/drawing/2012/chart" uri="{CE6537A1-D6FC-4f65-9D91-7224C49458BB}"/>
              </c:extLst>
            </c:dLbl>
            <c:dLbl>
              <c:idx val="30"/>
              <c:layout>
                <c:manualLayout>
                  <c:x val="8.8681127148202518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D99-413B-834A-5401D5C5390F}"/>
                </c:ext>
                <c:ext xmlns:c15="http://schemas.microsoft.com/office/drawing/2012/chart" uri="{CE6537A1-D6FC-4f65-9D91-7224C49458BB}"/>
              </c:extLst>
            </c:dLbl>
            <c:dLbl>
              <c:idx val="31"/>
              <c:layout>
                <c:manualLayout>
                  <c:x val="0.10036710025009152"/>
                  <c:y val="-4.84088986790887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D99-413B-834A-5401D5C5390F}"/>
                </c:ext>
                <c:ext xmlns:c15="http://schemas.microsoft.com/office/drawing/2012/chart" uri="{CE6537A1-D6FC-4f65-9D91-7224C49458BB}">
                  <c15:layout>
                    <c:manualLayout>
                      <c:w val="9.5610102376084888E-2"/>
                      <c:h val="2.9227644173606151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xmlns:c16r2="http://schemas.microsoft.com/office/drawing/2015/06/char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1855703648"/>
        <c:axId val="1855708544"/>
        <c:axId val="0"/>
      </c:bar3DChart>
      <c:catAx>
        <c:axId val="185570364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855708544"/>
        <c:crosses val="autoZero"/>
        <c:auto val="1"/>
        <c:lblAlgn val="ctr"/>
        <c:lblOffset val="100"/>
        <c:noMultiLvlLbl val="0"/>
      </c:catAx>
      <c:valAx>
        <c:axId val="1855708544"/>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855703648"/>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4EBBDB14-1168-4B56-B6AD-433D2301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6345</Words>
  <Characters>34899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Flores Munguia, Hugo Israel</cp:lastModifiedBy>
  <cp:revision>45</cp:revision>
  <cp:lastPrinted>2020-02-26T01:49:00Z</cp:lastPrinted>
  <dcterms:created xsi:type="dcterms:W3CDTF">2020-02-25T20:43:00Z</dcterms:created>
  <dcterms:modified xsi:type="dcterms:W3CDTF">2020-02-26T01:49:00Z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